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E64CF4C" w14:textId="6017EA88" w:rsidR="005B618B" w:rsidRDefault="00AC004D" w:rsidP="005B618B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  <w:r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Šablona projektového záměru </w:t>
      </w:r>
      <w:r w:rsidR="005B618B">
        <w:rPr>
          <w:rFonts w:ascii="Times New Roman" w:hAnsi="Times New Roman" w:cs="Times New Roman"/>
          <w:caps/>
          <w:color w:val="A6A6A6"/>
          <w:sz w:val="40"/>
          <w:szCs w:val="40"/>
        </w:rPr>
        <w:t>pro programový rámec irop MAS JABLUNKOVSKO, z. s.</w:t>
      </w:r>
    </w:p>
    <w:p w14:paraId="7F04A4B1" w14:textId="5C278F20" w:rsidR="00AC004D" w:rsidRPr="005B618B" w:rsidRDefault="0081399C" w:rsidP="005B618B">
      <w:pPr>
        <w:spacing w:after="200" w:line="276" w:lineRule="auto"/>
        <w:jc w:val="center"/>
        <w:rPr>
          <w:rFonts w:asciiTheme="majorHAnsi" w:hAnsiTheme="majorHAnsi" w:cs="MyriadPro-Black"/>
          <w:b/>
          <w:caps/>
          <w:sz w:val="32"/>
          <w:szCs w:val="40"/>
          <w:highlight w:val="yellow"/>
        </w:rPr>
      </w:pPr>
      <w:r>
        <w:rPr>
          <w:rFonts w:ascii="Times New Roman" w:hAnsi="Times New Roman" w:cs="Times New Roman"/>
          <w:b/>
          <w:caps/>
          <w:color w:val="A6A6A6"/>
          <w:sz w:val="36"/>
          <w:szCs w:val="36"/>
        </w:rPr>
        <w:t>4</w:t>
      </w:r>
      <w:r w:rsidR="005B618B" w:rsidRPr="005B618B">
        <w:rPr>
          <w:rFonts w:ascii="Times New Roman" w:hAnsi="Times New Roman" w:cs="Times New Roman"/>
          <w:b/>
          <w:caps/>
          <w:color w:val="A6A6A6"/>
          <w:sz w:val="36"/>
          <w:szCs w:val="36"/>
        </w:rPr>
        <w:t>. výzva</w:t>
      </w:r>
      <w:r w:rsidR="005B618B">
        <w:rPr>
          <w:rFonts w:ascii="Times New Roman" w:hAnsi="Times New Roman" w:cs="Times New Roman"/>
          <w:b/>
          <w:caps/>
          <w:color w:val="A6A6A6"/>
          <w:sz w:val="36"/>
          <w:szCs w:val="36"/>
        </w:rPr>
        <w:t xml:space="preserve"> MAS Jablunkovsko</w:t>
      </w:r>
      <w:r w:rsidR="005B618B" w:rsidRPr="005B618B">
        <w:rPr>
          <w:rFonts w:ascii="Times New Roman" w:hAnsi="Times New Roman" w:cs="Times New Roman"/>
          <w:b/>
          <w:caps/>
          <w:color w:val="A6A6A6"/>
          <w:sz w:val="36"/>
          <w:szCs w:val="36"/>
        </w:rPr>
        <w:t xml:space="preserve"> </w:t>
      </w:r>
      <w:proofErr w:type="gramStart"/>
      <w:r w:rsidR="005B618B" w:rsidRPr="005B618B">
        <w:rPr>
          <w:rFonts w:ascii="Times New Roman" w:hAnsi="Times New Roman" w:cs="Times New Roman"/>
          <w:b/>
          <w:caps/>
          <w:color w:val="A6A6A6"/>
          <w:sz w:val="36"/>
          <w:szCs w:val="36"/>
        </w:rPr>
        <w:t xml:space="preserve">irop </w:t>
      </w:r>
      <w:r>
        <w:rPr>
          <w:rFonts w:ascii="Times New Roman" w:hAnsi="Times New Roman" w:cs="Times New Roman"/>
          <w:b/>
          <w:caps/>
          <w:color w:val="A6A6A6"/>
          <w:sz w:val="36"/>
          <w:szCs w:val="36"/>
        </w:rPr>
        <w:t>- HASIČI</w:t>
      </w:r>
      <w:proofErr w:type="gramEnd"/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71A38AC" w14:textId="77777777" w:rsidR="005B618B" w:rsidRDefault="005B618B" w:rsidP="004E4B1D">
      <w:pPr>
        <w:pStyle w:val="Nadpis1"/>
        <w:jc w:val="both"/>
        <w:rPr>
          <w:color w:val="auto"/>
        </w:rPr>
      </w:pPr>
    </w:p>
    <w:p w14:paraId="1AC037A3" w14:textId="77777777" w:rsidR="002F4BC6" w:rsidRPr="00EB18AC" w:rsidRDefault="002F4BC6" w:rsidP="002F4BC6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039FADA1" w14:textId="411C2396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Výzva: MAS Jablunkovsko – IROP </w:t>
      </w:r>
      <w:r w:rsidR="008B4333">
        <w:rPr>
          <w:rFonts w:ascii="Calibri" w:hAnsi="Calibri" w:cs="Calibri"/>
          <w:b/>
          <w:sz w:val="28"/>
          <w:szCs w:val="28"/>
        </w:rPr>
        <w:t>–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81399C">
        <w:rPr>
          <w:rFonts w:ascii="Calibri" w:hAnsi="Calibri" w:cs="Calibri"/>
          <w:b/>
          <w:sz w:val="28"/>
          <w:szCs w:val="28"/>
        </w:rPr>
        <w:t>HASIČI</w:t>
      </w:r>
    </w:p>
    <w:p w14:paraId="4A4F61DD" w14:textId="684832C0" w:rsidR="002F4BC6" w:rsidRDefault="008B4333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Č. výzvy: </w:t>
      </w:r>
      <w:r w:rsidR="0081399C">
        <w:rPr>
          <w:rFonts w:ascii="Calibri" w:hAnsi="Calibri" w:cs="Calibri"/>
          <w:b/>
          <w:sz w:val="28"/>
          <w:szCs w:val="28"/>
        </w:rPr>
        <w:t>4</w:t>
      </w:r>
    </w:p>
    <w:p w14:paraId="19B2EABB" w14:textId="2383AB5F" w:rsidR="002F4BC6" w:rsidRDefault="008B4333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IROP č.: </w:t>
      </w:r>
      <w:r w:rsidR="0081399C">
        <w:rPr>
          <w:rFonts w:ascii="Calibri" w:hAnsi="Calibri" w:cs="Calibri"/>
          <w:b/>
          <w:sz w:val="28"/>
          <w:szCs w:val="28"/>
        </w:rPr>
        <w:t>61</w:t>
      </w:r>
    </w:p>
    <w:p w14:paraId="72C5B9ED" w14:textId="77777777" w:rsidR="002F4BC6" w:rsidRDefault="002F4BC6" w:rsidP="002F4BC6">
      <w:pPr>
        <w:jc w:val="both"/>
        <w:rPr>
          <w:b/>
          <w:sz w:val="28"/>
          <w:szCs w:val="28"/>
        </w:rPr>
      </w:pPr>
    </w:p>
    <w:p w14:paraId="267AB8DA" w14:textId="77777777" w:rsidR="002F4BC6" w:rsidRPr="00211D24" w:rsidRDefault="002F4BC6" w:rsidP="002F4BC6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D12517F" w14:textId="74209CE9" w:rsidR="002F4BC6" w:rsidRDefault="002F4BC6" w:rsidP="002F4BC6">
      <w:pPr>
        <w:jc w:val="both"/>
      </w:pPr>
      <w:r>
        <w:t>Žadatel musí vyplnit všechny požadované údaje.</w:t>
      </w:r>
      <w:r w:rsidR="0050605A">
        <w:t xml:space="preserve"> Zároveň doporučujeme uvádět stručné a výstižné informace.</w:t>
      </w:r>
    </w:p>
    <w:p w14:paraId="53FF3CBE" w14:textId="6B220748" w:rsidR="002F4BC6" w:rsidRDefault="002F4BC6" w:rsidP="002F4BC6">
      <w:pPr>
        <w:jc w:val="both"/>
      </w:pPr>
      <w:r>
        <w:t>V rámci MAS bude nejprve ze strany kanceláře MAS provedena administrativní kontrola. Záměry, které splní kritéria administrativní kontroly, budou postoupeny do věcného hodnocení. Věcné hodnocení provádí výběrová komise MAS. Výběr</w:t>
      </w:r>
      <w:r w:rsidR="006A372F">
        <w:t>ová komise se sch</w:t>
      </w:r>
      <w:r>
        <w:t>ází periodicky v tříměsíčních intervalech.</w:t>
      </w:r>
      <w:r w:rsidR="006A372F">
        <w:t xml:space="preserve"> </w:t>
      </w:r>
      <w:r w:rsidR="006A372F" w:rsidRPr="00D247E8">
        <w:rPr>
          <w:b/>
          <w:bCs/>
        </w:rPr>
        <w:t>K jednání komise mohou být postoupeny pouze záměry, které splní kritéria administrativní kontroly nejpozději do 14 dnů před jednání</w:t>
      </w:r>
      <w:r w:rsidR="000557AE" w:rsidRPr="00D247E8">
        <w:rPr>
          <w:b/>
          <w:bCs/>
        </w:rPr>
        <w:t>m</w:t>
      </w:r>
      <w:r w:rsidR="006A372F" w:rsidRPr="00D247E8">
        <w:rPr>
          <w:b/>
          <w:bCs/>
        </w:rPr>
        <w:t xml:space="preserve"> výběrové komise.</w:t>
      </w:r>
    </w:p>
    <w:p w14:paraId="05A200B1" w14:textId="418554B0" w:rsidR="006A372F" w:rsidRDefault="006A372F" w:rsidP="002F4BC6">
      <w:pPr>
        <w:jc w:val="both"/>
      </w:pPr>
      <w:r>
        <w:t xml:space="preserve">Dalším krokem je výběr projektových záměrů. </w:t>
      </w:r>
      <w:r w:rsidRPr="00D247E8">
        <w:rPr>
          <w:b/>
          <w:bCs/>
        </w:rPr>
        <w:t>Výběr je v kompetenci programového výboru.</w:t>
      </w:r>
      <w:r>
        <w:t xml:space="preserve"> Projektům je vydáno Vyjádření o souladu se SCLLD MAS Jablunkovsko, které je nedílnou součástí plné žádosti o podporu. Vyjádření je povinnou přílohou vkládanou do systému MS2021+ a má omezenou platnost.</w:t>
      </w:r>
    </w:p>
    <w:p w14:paraId="284A8AC8" w14:textId="05AE9446" w:rsidR="002F4BC6" w:rsidRDefault="002F4BC6" w:rsidP="002F4BC6">
      <w:pPr>
        <w:jc w:val="both"/>
      </w:pPr>
      <w:r>
        <w:t>Post</w:t>
      </w:r>
      <w:r w:rsidR="006A372F">
        <w:t>up hodnocení projektových záměrů je uveden v</w:t>
      </w:r>
      <w:r>
        <w:t xml:space="preserve"> </w:t>
      </w:r>
      <w:r w:rsidRPr="00D65DA9">
        <w:t xml:space="preserve">Interních postupech </w:t>
      </w:r>
      <w:r w:rsidR="006A372F">
        <w:t>pro realizaci Programového rámce</w:t>
      </w:r>
      <w:r w:rsidR="00C9199C">
        <w:t xml:space="preserve"> IROP na období 2021 – 2027 MAS </w:t>
      </w:r>
      <w:proofErr w:type="gramStart"/>
      <w:r w:rsidR="004F3AF9">
        <w:t>Jablunkovsko,</w:t>
      </w:r>
      <w:r w:rsidR="006A372F">
        <w:t>z.s.</w:t>
      </w:r>
      <w:proofErr w:type="gramEnd"/>
      <w:r w:rsidRPr="00D65DA9">
        <w:t xml:space="preserve"> Interní postupy jsou zveřejněny</w:t>
      </w:r>
      <w:r w:rsidR="009A54A3">
        <w:t xml:space="preserve"> v dokumentech k výzvě č. 4.</w:t>
      </w:r>
    </w:p>
    <w:p w14:paraId="4EBAD58D" w14:textId="768D65F8" w:rsidR="002F4BC6" w:rsidRDefault="002F4BC6" w:rsidP="002F4BC6">
      <w:pPr>
        <w:jc w:val="both"/>
      </w:pPr>
      <w:r>
        <w:t xml:space="preserve">Hodnocení </w:t>
      </w:r>
      <w:r w:rsidR="006A372F">
        <w:t xml:space="preserve">plných </w:t>
      </w:r>
      <w:r>
        <w:t xml:space="preserve">žádostí o podporu je v kompetenci Centra pro regionální rozvoj (CRR). </w:t>
      </w:r>
    </w:p>
    <w:p w14:paraId="709F5338" w14:textId="4AF30B01" w:rsidR="002F4BC6" w:rsidRDefault="002F4BC6" w:rsidP="002F4BC6">
      <w:pPr>
        <w:jc w:val="both"/>
      </w:pPr>
      <w:r>
        <w:t>Věcná způsobilost je definována v Obecných a Specifických pravidlech pro</w:t>
      </w:r>
      <w:r w:rsidR="009A54A3">
        <w:t xml:space="preserve"> žadatele a příjemce výzvy č. </w:t>
      </w:r>
      <w:proofErr w:type="gramStart"/>
      <w:r w:rsidR="0081399C">
        <w:t>61</w:t>
      </w:r>
      <w:r w:rsidR="00C9199C">
        <w:t xml:space="preserve"> </w:t>
      </w:r>
      <w:r>
        <w:t xml:space="preserve"> IROP</w:t>
      </w:r>
      <w:proofErr w:type="gramEnd"/>
      <w:r>
        <w:t xml:space="preserve"> (vždy v aktuálním znění).</w:t>
      </w:r>
    </w:p>
    <w:p w14:paraId="2B4872BF" w14:textId="6C07EB68" w:rsidR="002F4BC6" w:rsidRDefault="002F4BC6" w:rsidP="002F4BC6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2" w:history="1">
        <w:r w:rsidR="0081399C" w:rsidRPr="005E60E5">
          <w:rPr>
            <w:rStyle w:val="Hypertextovodkaz"/>
          </w:rPr>
          <w:t>https://irop.mmr.cz/cs/vyzvy-2021-2027/vyzvy/61vyzvairop</w:t>
        </w:r>
      </w:hyperlink>
    </w:p>
    <w:p w14:paraId="1566D657" w14:textId="13750E92" w:rsidR="002F4BC6" w:rsidRDefault="006A372F" w:rsidP="006A372F">
      <w:pPr>
        <w:jc w:val="both"/>
      </w:pPr>
      <w:r>
        <w:t xml:space="preserve">Podání projektového záměru na MAS </w:t>
      </w:r>
      <w:r w:rsidR="00964BC2">
        <w:t>–</w:t>
      </w:r>
      <w:r>
        <w:t xml:space="preserve"> </w:t>
      </w:r>
      <w:r w:rsidR="00964BC2" w:rsidRPr="00964BC2">
        <w:rPr>
          <w:b/>
        </w:rPr>
        <w:t>kompletně vyplněný z</w:t>
      </w:r>
      <w:r w:rsidR="002F4BC6" w:rsidRPr="00964BC2">
        <w:rPr>
          <w:b/>
        </w:rPr>
        <w:t>áměr</w:t>
      </w:r>
      <w:r w:rsidR="002F4BC6">
        <w:t xml:space="preserve"> ve formátu pdf opatřený elektronickým podpisem osoby (osoby) jednajících jménem žadatele (nebo osob zmocněných na základě plné moci) a relevantní přílohy je nutné zaslat na e-mail: </w:t>
      </w:r>
      <w:hyperlink r:id="rId13" w:history="1">
        <w:r w:rsidRPr="007E7A69">
          <w:rPr>
            <w:rStyle w:val="Hypertextovodkaz"/>
          </w:rPr>
          <w:t>info@masjablunkovsko.cz</w:t>
        </w:r>
      </w:hyperlink>
    </w:p>
    <w:p w14:paraId="3DD4F3E7" w14:textId="0956C784" w:rsidR="006A372F" w:rsidRDefault="006A372F" w:rsidP="006A372F">
      <w:pPr>
        <w:jc w:val="both"/>
      </w:pPr>
      <w:r w:rsidRPr="006A372F">
        <w:t xml:space="preserve">V případě nadměrné velikosti „Příloh“ </w:t>
      </w:r>
      <w:r>
        <w:t xml:space="preserve">lze k předání příloh využít volně dostupného úložiště, např.: </w:t>
      </w:r>
      <w:r w:rsidRPr="006A372F">
        <w:t xml:space="preserve"> </w:t>
      </w:r>
      <w:hyperlink r:id="rId14" w:history="1">
        <w:r w:rsidRPr="007E7A69">
          <w:rPr>
            <w:rStyle w:val="Hypertextovodkaz"/>
          </w:rPr>
          <w:t>https://uschovna.cz/</w:t>
        </w:r>
      </w:hyperlink>
    </w:p>
    <w:p w14:paraId="26F641B9" w14:textId="77777777" w:rsidR="006A372F" w:rsidRDefault="006A372F" w:rsidP="006A372F">
      <w:pPr>
        <w:jc w:val="both"/>
        <w:rPr>
          <w:b/>
          <w:bCs/>
          <w:color w:val="FF0000"/>
        </w:rPr>
      </w:pPr>
    </w:p>
    <w:p w14:paraId="25398FFD" w14:textId="01C46A27" w:rsidR="002F4BC6" w:rsidRPr="006A372F" w:rsidRDefault="00964BC2" w:rsidP="006A372F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uvedené informace nepřikládejte k projektovému záměru!</w:t>
      </w:r>
      <w:r w:rsidR="002F4BC6" w:rsidRPr="006A372F">
        <w:rPr>
          <w:b/>
          <w:bCs/>
          <w:color w:val="FF0000"/>
          <w:sz w:val="28"/>
          <w:szCs w:val="28"/>
        </w:rPr>
        <w:t xml:space="preserve"> </w:t>
      </w:r>
    </w:p>
    <w:p w14:paraId="2C55A238" w14:textId="77777777" w:rsidR="002F4BC6" w:rsidRDefault="002F4BC6" w:rsidP="002F4BC6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D62762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09ABAE00" w14:textId="3943A0C1" w:rsidR="00C566ED" w:rsidRPr="001C1F58" w:rsidRDefault="002F4BC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lastRenderedPageBreak/>
              <w:br w:type="page"/>
            </w:r>
            <w:bookmarkStart w:id="0" w:name="RANGE!A1:G36"/>
            <w:r w:rsidR="0023690F">
              <w:br w:type="page"/>
            </w:r>
            <w:bookmarkEnd w:id="0"/>
            <w:r w:rsidR="00C566ED"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auto"/>
            <w:vAlign w:val="center"/>
          </w:tcPr>
          <w:p w14:paraId="7321FA98" w14:textId="47B87AB0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27FF0AFE" w14:textId="77777777" w:rsidTr="00D62762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0967B26" w14:textId="0B4780FE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002692D9" w14:textId="77777777" w:rsidTr="00D62762">
        <w:trPr>
          <w:trHeight w:val="334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1CC9AE0B" w14:textId="512C359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7396E24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7829B879" w14:textId="2810A6DE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1AB9F43A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B4615AB" w14:textId="21DE514A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5A0A59D6" w14:textId="77777777" w:rsidTr="00964BC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5883F993" w14:textId="68E1580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40600B07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472A648B" w14:textId="27FADDB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564867B6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D56CECE" w14:textId="5E184870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3062ED0F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36A3438B" w14:textId="649FC8CD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7A80B05A" w14:textId="77777777" w:rsidTr="00D62762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6594049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4B1ACCC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51E40C1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</w:tbl>
    <w:p w14:paraId="3D80A78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68A3" w:rsidRPr="001C1F58" w14:paraId="14A7BAE3" w14:textId="77777777" w:rsidTr="00A1103B">
        <w:trPr>
          <w:trHeight w:val="525"/>
          <w:jc w:val="center"/>
        </w:trPr>
        <w:tc>
          <w:tcPr>
            <w:tcW w:w="9042" w:type="dxa"/>
            <w:shd w:val="clear" w:color="auto" w:fill="DFD0CB"/>
            <w:noWrap/>
            <w:vAlign w:val="center"/>
            <w:hideMark/>
          </w:tcPr>
          <w:p w14:paraId="133945F8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  <w:p w14:paraId="290735CD" w14:textId="68229EF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668A3" w:rsidRPr="001C1F58" w14:paraId="6E8F6A6D" w14:textId="77777777" w:rsidTr="009668A3">
        <w:trPr>
          <w:trHeight w:val="525"/>
          <w:jc w:val="center"/>
        </w:trPr>
        <w:tc>
          <w:tcPr>
            <w:tcW w:w="9042" w:type="dxa"/>
            <w:shd w:val="clear" w:color="auto" w:fill="auto"/>
            <w:noWrap/>
            <w:vAlign w:val="center"/>
          </w:tcPr>
          <w:p w14:paraId="308EBA57" w14:textId="626A42D7" w:rsidR="009668A3" w:rsidRPr="009668A3" w:rsidRDefault="009668A3" w:rsidP="009668A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9668A3">
              <w:rPr>
                <w:rFonts w:cs="Arial"/>
                <w:b/>
                <w:szCs w:val="20"/>
              </w:rPr>
              <w:t>Popis projektu</w:t>
            </w:r>
            <w:r w:rsidRPr="009668A3" w:rsidDel="0023690F">
              <w:rPr>
                <w:rFonts w:cs="Arial"/>
                <w:b/>
                <w:szCs w:val="20"/>
              </w:rPr>
              <w:t xml:space="preserve"> </w:t>
            </w:r>
            <w:r w:rsidRPr="009668A3">
              <w:rPr>
                <w:rFonts w:cs="Arial"/>
                <w:b/>
                <w:szCs w:val="20"/>
              </w:rPr>
              <w:t>a podporované aktivity projektu</w:t>
            </w:r>
          </w:p>
        </w:tc>
      </w:tr>
      <w:tr w:rsidR="009668A3" w:rsidRPr="001C1F58" w14:paraId="267263EC" w14:textId="77777777" w:rsidTr="00B21270">
        <w:trPr>
          <w:trHeight w:val="4361"/>
          <w:jc w:val="center"/>
        </w:trPr>
        <w:tc>
          <w:tcPr>
            <w:tcW w:w="9042" w:type="dxa"/>
            <w:shd w:val="clear" w:color="auto" w:fill="auto"/>
            <w:noWrap/>
          </w:tcPr>
          <w:p w14:paraId="35AB8980" w14:textId="71B7C2B5" w:rsidR="00574F56" w:rsidRPr="00D610FD" w:rsidRDefault="00574F56" w:rsidP="00574F56">
            <w:pPr>
              <w:jc w:val="both"/>
              <w:rPr>
                <w:color w:val="FF0000"/>
              </w:rPr>
            </w:pPr>
            <w:r w:rsidRPr="00135FDD">
              <w:rPr>
                <w:b/>
                <w:bCs/>
                <w:color w:val="FF0000"/>
              </w:rPr>
              <w:t>Stručně popište</w:t>
            </w:r>
            <w:r w:rsidRPr="00D610FD">
              <w:rPr>
                <w:color w:val="FF0000"/>
              </w:rPr>
              <w:t xml:space="preserve"> Váš projektový záměr a podporované aktivity včetně stavu připravenosti projektu. Aktivity musí b</w:t>
            </w:r>
            <w:r w:rsidR="00510320">
              <w:rPr>
                <w:color w:val="FF0000"/>
              </w:rPr>
              <w:t xml:space="preserve">ýt v souladu s výzvou IROP č. </w:t>
            </w:r>
            <w:r w:rsidR="0081399C">
              <w:rPr>
                <w:color w:val="FF0000"/>
              </w:rPr>
              <w:t>61</w:t>
            </w:r>
            <w:r w:rsidRPr="00D610FD">
              <w:rPr>
                <w:color w:val="FF0000"/>
              </w:rPr>
              <w:t xml:space="preserve"> </w:t>
            </w:r>
            <w:r w:rsidR="00510320">
              <w:rPr>
                <w:color w:val="FF0000"/>
              </w:rPr>
              <w:t>–</w:t>
            </w:r>
            <w:r w:rsidRPr="00D610FD">
              <w:rPr>
                <w:color w:val="FF0000"/>
              </w:rPr>
              <w:t xml:space="preserve"> </w:t>
            </w:r>
            <w:proofErr w:type="gramStart"/>
            <w:r w:rsidR="0081399C">
              <w:rPr>
                <w:color w:val="FF0000"/>
              </w:rPr>
              <w:t xml:space="preserve">HASIČI </w:t>
            </w:r>
            <w:r w:rsidRPr="00D610FD">
              <w:rPr>
                <w:color w:val="FF0000"/>
              </w:rPr>
              <w:t>- SC</w:t>
            </w:r>
            <w:proofErr w:type="gramEnd"/>
            <w:r w:rsidRPr="00D610FD">
              <w:rPr>
                <w:color w:val="FF0000"/>
              </w:rPr>
              <w:t xml:space="preserve"> 5.1. CLLD a specifickými pravidly této výzvy.</w:t>
            </w:r>
          </w:p>
          <w:p w14:paraId="0459076D" w14:textId="7836079D" w:rsidR="00A82149" w:rsidRDefault="00A82149" w:rsidP="00574F56">
            <w:pPr>
              <w:jc w:val="both"/>
              <w:rPr>
                <w:color w:val="FF0000"/>
              </w:rPr>
            </w:pPr>
            <w:r w:rsidRPr="00D610FD">
              <w:rPr>
                <w:color w:val="FF0000"/>
              </w:rPr>
              <w:t>Ve výzvě MAS jsou podporovány aktivity</w:t>
            </w:r>
            <w:r w:rsidR="00BE2E57" w:rsidRPr="00D610FD">
              <w:rPr>
                <w:color w:val="FF0000"/>
              </w:rPr>
              <w:t>:</w:t>
            </w:r>
          </w:p>
          <w:p w14:paraId="23735685" w14:textId="77777777" w:rsidR="0081399C" w:rsidRPr="0081399C" w:rsidRDefault="0081399C" w:rsidP="0081399C">
            <w:pPr>
              <w:jc w:val="both"/>
              <w:rPr>
                <w:b/>
                <w:color w:val="FF0000"/>
              </w:rPr>
            </w:pPr>
            <w:r w:rsidRPr="0081399C">
              <w:rPr>
                <w:b/>
                <w:color w:val="FF0000"/>
              </w:rPr>
              <w:t xml:space="preserve">Podpora jednotek sboru dobrovolných hasičů kategorie jednotek požární </w:t>
            </w:r>
          </w:p>
          <w:p w14:paraId="75682FDC" w14:textId="6C8432E6" w:rsidR="0081399C" w:rsidRPr="0081399C" w:rsidRDefault="0081399C" w:rsidP="0081399C">
            <w:pPr>
              <w:jc w:val="both"/>
              <w:rPr>
                <w:b/>
                <w:color w:val="FF0000"/>
              </w:rPr>
            </w:pPr>
            <w:r w:rsidRPr="0081399C">
              <w:rPr>
                <w:b/>
                <w:color w:val="FF0000"/>
              </w:rPr>
              <w:t xml:space="preserve">ochrany II, III a V  </w:t>
            </w:r>
          </w:p>
          <w:p w14:paraId="79734C97" w14:textId="20CA6C9B" w:rsidR="0081399C" w:rsidRPr="0081399C" w:rsidRDefault="0081399C" w:rsidP="0081399C">
            <w:pPr>
              <w:jc w:val="both"/>
              <w:rPr>
                <w:b/>
                <w:color w:val="FF0000"/>
              </w:rPr>
            </w:pPr>
            <w:r w:rsidRPr="0081399C">
              <w:rPr>
                <w:b/>
                <w:color w:val="FF0000"/>
              </w:rPr>
              <w:t>A.</w:t>
            </w:r>
            <w:r w:rsidRPr="0081399C">
              <w:rPr>
                <w:b/>
                <w:color w:val="FF0000"/>
              </w:rPr>
              <w:tab/>
              <w:t xml:space="preserve">Výstavba a rekonstrukce požárních zbrojnic; </w:t>
            </w:r>
          </w:p>
          <w:p w14:paraId="6FE815DA" w14:textId="14A5CC70" w:rsidR="0081399C" w:rsidRPr="0081399C" w:rsidRDefault="0081399C" w:rsidP="0081399C">
            <w:pPr>
              <w:jc w:val="both"/>
              <w:rPr>
                <w:b/>
                <w:color w:val="FF0000"/>
              </w:rPr>
            </w:pPr>
            <w:r w:rsidRPr="0081399C">
              <w:rPr>
                <w:b/>
                <w:color w:val="FF0000"/>
              </w:rPr>
              <w:t>B.</w:t>
            </w:r>
            <w:r w:rsidRPr="0081399C">
              <w:rPr>
                <w:b/>
                <w:color w:val="FF0000"/>
              </w:rPr>
              <w:tab/>
              <w:t xml:space="preserve">Pořízení požární techniky, věcných prostředků požární ochrany; </w:t>
            </w:r>
          </w:p>
          <w:p w14:paraId="1E9B7BBD" w14:textId="2B1F0536" w:rsidR="0081399C" w:rsidRPr="0081399C" w:rsidRDefault="0081399C" w:rsidP="0081399C">
            <w:pPr>
              <w:jc w:val="both"/>
              <w:rPr>
                <w:b/>
                <w:color w:val="FF0000"/>
              </w:rPr>
            </w:pPr>
            <w:r w:rsidRPr="0081399C">
              <w:rPr>
                <w:b/>
                <w:color w:val="FF0000"/>
              </w:rPr>
              <w:t>C.</w:t>
            </w:r>
            <w:r w:rsidRPr="0081399C">
              <w:rPr>
                <w:b/>
                <w:color w:val="FF0000"/>
              </w:rPr>
              <w:tab/>
              <w:t xml:space="preserve">Vybudování a revitalizace umělých vodních požárních nádrží v obcích.  </w:t>
            </w:r>
          </w:p>
          <w:p w14:paraId="68C34672" w14:textId="5F062193" w:rsidR="007F336F" w:rsidRPr="00B21270" w:rsidRDefault="0081399C" w:rsidP="007F336F">
            <w:pPr>
              <w:jc w:val="both"/>
              <w:rPr>
                <w:rFonts w:cs="Arial"/>
                <w:color w:val="FF0000"/>
                <w:szCs w:val="20"/>
                <w:u w:val="single"/>
              </w:rPr>
            </w:pPr>
            <w:r w:rsidRPr="0081399C">
              <w:rPr>
                <w:b/>
                <w:color w:val="FF0000"/>
              </w:rPr>
              <w:t xml:space="preserve">• </w:t>
            </w:r>
            <w:r w:rsidRPr="0081399C">
              <w:rPr>
                <w:bCs/>
                <w:color w:val="FF0000"/>
              </w:rPr>
              <w:t>doprovodná část projektu: Zvýšení energetické účinnosti při renovaci/výstavbě budov je doprovodnou (nepovinnou) částí projektu na úrovni způsobilých výdajů a bude intenzivně podporováno tam, kde to bude možné, a propagováno mezi žadateli. V případě památkově chráněných budov bude zvýšení energetické účinnosti využito tak, aby nedošlo ke změně charakteru či vzhledu budov.</w:t>
            </w:r>
            <w:r w:rsidR="007F336F">
              <w:rPr>
                <w:bCs/>
                <w:color w:val="FF0000"/>
              </w:rPr>
              <w:t xml:space="preserve"> Pokud je to relevantní popište soulad záměru s </w:t>
            </w:r>
            <w:proofErr w:type="gramStart"/>
            <w:r w:rsidR="007F336F">
              <w:rPr>
                <w:color w:val="FF0000"/>
              </w:rPr>
              <w:t xml:space="preserve">cíli </w:t>
            </w:r>
            <w:r w:rsidR="007F336F" w:rsidRPr="00550411">
              <w:rPr>
                <w:color w:val="FF0000"/>
              </w:rPr>
              <w:t xml:space="preserve"> a</w:t>
            </w:r>
            <w:proofErr w:type="gramEnd"/>
            <w:r w:rsidR="007F336F" w:rsidRPr="00550411">
              <w:rPr>
                <w:color w:val="FF0000"/>
              </w:rPr>
              <w:t xml:space="preserve"> zásadami udržitelného rozvoje a zásadou „významně nepoškozovat“ (dále jen „DNSH“) v oblasti životního prostředí</w:t>
            </w:r>
            <w:r w:rsidR="007F336F">
              <w:rPr>
                <w:color w:val="FF0000"/>
              </w:rPr>
              <w:t xml:space="preserve"> jako je</w:t>
            </w:r>
            <w:r w:rsidR="007F336F" w:rsidRPr="00D610FD">
              <w:rPr>
                <w:color w:val="FF0000"/>
              </w:rPr>
              <w:t xml:space="preserve">: </w:t>
            </w:r>
            <w:r w:rsidR="007F336F">
              <w:rPr>
                <w:color w:val="FF0000"/>
              </w:rPr>
              <w:t>u</w:t>
            </w:r>
            <w:r w:rsidR="007F336F" w:rsidRPr="00D610FD">
              <w:rPr>
                <w:color w:val="FF0000"/>
              </w:rPr>
              <w:t>držitelné využívání a ochrana vodních zdrojů, přechod na oběhové hospodářství, prevence a omezování znečištění, ochrana a obnova biologické rozmanitosti a ekosystémů</w:t>
            </w:r>
            <w:r w:rsidR="007F336F">
              <w:rPr>
                <w:color w:val="FF0000"/>
              </w:rPr>
              <w:t xml:space="preserve"> (dle kapitoly 3.2.2 Specifických pravidel pro žadatele a příjemce pro výzvu č.61).</w:t>
            </w:r>
          </w:p>
        </w:tc>
      </w:tr>
      <w:tr w:rsidR="00574F56" w:rsidRPr="001C1F58" w14:paraId="248AD7B9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5D48D58" w14:textId="77777777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cíle projektu</w:t>
            </w:r>
          </w:p>
          <w:p w14:paraId="124CBA11" w14:textId="3189FDA6" w:rsidR="00574F56" w:rsidRPr="00574F56" w:rsidRDefault="00574F5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74F56" w:rsidRPr="001C1F58" w14:paraId="6E0C00E5" w14:textId="77777777" w:rsidTr="00A52F40">
        <w:trPr>
          <w:trHeight w:val="542"/>
          <w:jc w:val="center"/>
        </w:trPr>
        <w:tc>
          <w:tcPr>
            <w:tcW w:w="9042" w:type="dxa"/>
            <w:shd w:val="clear" w:color="auto" w:fill="auto"/>
          </w:tcPr>
          <w:p w14:paraId="647DF9AF" w14:textId="77777777" w:rsidR="00574F56" w:rsidRPr="001F7E3D" w:rsidRDefault="00574F56" w:rsidP="00574F56">
            <w:pPr>
              <w:rPr>
                <w:color w:val="FF0000"/>
              </w:rPr>
            </w:pPr>
            <w:r w:rsidRPr="001F7E3D">
              <w:rPr>
                <w:color w:val="FF0000"/>
              </w:rPr>
              <w:t>Stručně popište, jaké jsou stanovené cíle projekt</w:t>
            </w:r>
            <w:r>
              <w:rPr>
                <w:color w:val="FF0000"/>
              </w:rPr>
              <w:t>ového záměru</w:t>
            </w:r>
            <w:r w:rsidRPr="001F7E3D">
              <w:rPr>
                <w:color w:val="FF0000"/>
              </w:rPr>
              <w:t>.</w:t>
            </w:r>
          </w:p>
          <w:p w14:paraId="61BEC157" w14:textId="77777777" w:rsidR="00574F56" w:rsidRPr="00574F56" w:rsidRDefault="00574F56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574F56" w:rsidRPr="001C1F58" w14:paraId="194D8DAC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310D22E" w14:textId="075BDCB8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t>zdůvodnění potřebnosti projektu a popis stávajícího stavu</w:t>
            </w:r>
          </w:p>
          <w:p w14:paraId="2C782C70" w14:textId="6A2F468C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F56" w:rsidRPr="001C1F58" w14:paraId="2A3A8CE9" w14:textId="77777777" w:rsidTr="002B54BC">
        <w:trPr>
          <w:trHeight w:val="818"/>
          <w:jc w:val="center"/>
        </w:trPr>
        <w:tc>
          <w:tcPr>
            <w:tcW w:w="9042" w:type="dxa"/>
            <w:shd w:val="clear" w:color="auto" w:fill="auto"/>
          </w:tcPr>
          <w:p w14:paraId="10621AF1" w14:textId="77777777" w:rsidR="00450E67" w:rsidRDefault="00450E67" w:rsidP="002B54BC">
            <w:pPr>
              <w:rPr>
                <w:color w:val="FF0000"/>
              </w:rPr>
            </w:pPr>
            <w:r>
              <w:rPr>
                <w:color w:val="FF0000"/>
              </w:rPr>
              <w:t>Popište výchozí stav před zahájením realizace projektového záměru (tj. výchozí situace, problémy a nedostatky, které má projektový záměr řešit).</w:t>
            </w:r>
          </w:p>
          <w:p w14:paraId="1F066648" w14:textId="09916A4E" w:rsidR="002B54BC" w:rsidRDefault="00135FDD" w:rsidP="002B54BC">
            <w:pPr>
              <w:rPr>
                <w:color w:val="FF0000"/>
              </w:rPr>
            </w:pPr>
            <w:r>
              <w:rPr>
                <w:color w:val="FF0000"/>
              </w:rPr>
              <w:t>Popište, j</w:t>
            </w:r>
            <w:r w:rsidR="002B54BC">
              <w:rPr>
                <w:color w:val="FF0000"/>
              </w:rPr>
              <w:t xml:space="preserve">aký </w:t>
            </w:r>
            <w:r w:rsidR="002B54BC" w:rsidRPr="002B54BC">
              <w:rPr>
                <w:color w:val="FF0000"/>
              </w:rPr>
              <w:t>je současný stav požadované techniky u dané jednotky SDH</w:t>
            </w:r>
            <w:r>
              <w:rPr>
                <w:color w:val="FF0000"/>
              </w:rPr>
              <w:t xml:space="preserve">. </w:t>
            </w:r>
            <w:r w:rsidR="002B54BC" w:rsidRPr="002B54BC">
              <w:rPr>
                <w:color w:val="FF0000"/>
              </w:rPr>
              <w:t>(Žadatel uvede informaci o stavu požadované techniky.)</w:t>
            </w:r>
          </w:p>
          <w:p w14:paraId="6CD1085B" w14:textId="5026B54E" w:rsidR="002B54BC" w:rsidRPr="00135FDD" w:rsidRDefault="00135FDD" w:rsidP="00135FDD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Popište p</w:t>
            </w:r>
            <w:r w:rsidR="002B54BC" w:rsidRPr="002B54BC">
              <w:rPr>
                <w:rFonts w:cs="Arial"/>
                <w:color w:val="FF0000"/>
                <w:szCs w:val="20"/>
              </w:rPr>
              <w:t>růměrný roční počet zásahů jednotky (vypočteno aritmetickým průměrem za poslední 3 předcházející kalendářní roky)</w:t>
            </w:r>
            <w:r>
              <w:rPr>
                <w:rFonts w:cs="Arial"/>
                <w:color w:val="FF0000"/>
                <w:szCs w:val="20"/>
              </w:rPr>
              <w:t>.</w:t>
            </w:r>
          </w:p>
        </w:tc>
      </w:tr>
      <w:tr w:rsidR="00574F56" w:rsidRPr="001C1F58" w14:paraId="6C7DC1F6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FBD4E9E" w14:textId="1ACA4AB7" w:rsidR="00574F56" w:rsidRPr="00574F56" w:rsidRDefault="007F2B65" w:rsidP="005D284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místo realizace projektu</w:t>
            </w:r>
            <w:r w:rsidR="00574F56" w:rsidRPr="00574F56">
              <w:rPr>
                <w:rFonts w:cs="Arial"/>
                <w:b/>
                <w:szCs w:val="20"/>
              </w:rPr>
              <w:t xml:space="preserve"> a území </w:t>
            </w:r>
            <w:r w:rsidR="005D2846">
              <w:rPr>
                <w:rFonts w:cs="Arial"/>
                <w:b/>
                <w:szCs w:val="20"/>
              </w:rPr>
              <w:t xml:space="preserve">působnosti </w:t>
            </w:r>
          </w:p>
        </w:tc>
      </w:tr>
      <w:tr w:rsidR="00574F56" w:rsidRPr="001C1F58" w14:paraId="2CA4E35E" w14:textId="77777777" w:rsidTr="002B54BC">
        <w:trPr>
          <w:trHeight w:val="926"/>
          <w:jc w:val="center"/>
        </w:trPr>
        <w:tc>
          <w:tcPr>
            <w:tcW w:w="9042" w:type="dxa"/>
            <w:shd w:val="clear" w:color="auto" w:fill="auto"/>
          </w:tcPr>
          <w:p w14:paraId="26945CB8" w14:textId="73E4E557" w:rsidR="002B54BC" w:rsidRDefault="00574F56" w:rsidP="002B54BC">
            <w:pPr>
              <w:jc w:val="both"/>
              <w:rPr>
                <w:rFonts w:cs="Arial"/>
                <w:color w:val="FF0000"/>
                <w:szCs w:val="20"/>
              </w:rPr>
            </w:pPr>
            <w:r w:rsidRPr="00574F56">
              <w:rPr>
                <w:rFonts w:cs="Arial"/>
                <w:color w:val="FF0000"/>
                <w:szCs w:val="20"/>
              </w:rPr>
              <w:t>Uveďte místo realizace projektu a odhadněte</w:t>
            </w:r>
            <w:r w:rsidR="00A846FF">
              <w:rPr>
                <w:rFonts w:cs="Arial"/>
                <w:color w:val="FF0000"/>
                <w:szCs w:val="20"/>
              </w:rPr>
              <w:t>,</w:t>
            </w:r>
            <w:r w:rsidRPr="00574F56">
              <w:rPr>
                <w:rFonts w:cs="Arial"/>
                <w:color w:val="FF0000"/>
                <w:szCs w:val="20"/>
              </w:rPr>
              <w:t xml:space="preserve"> jaký bude mít projekt dopad</w:t>
            </w:r>
            <w:r w:rsidR="007F2B65">
              <w:rPr>
                <w:rFonts w:cs="Arial"/>
                <w:color w:val="FF0000"/>
                <w:szCs w:val="20"/>
              </w:rPr>
              <w:t xml:space="preserve"> na území MAS Jablunkovsko.</w:t>
            </w:r>
          </w:p>
          <w:p w14:paraId="76AED817" w14:textId="5E5BF465" w:rsidR="002B54BC" w:rsidRPr="002B54BC" w:rsidRDefault="00135FDD" w:rsidP="002B54B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Přesně popište p</w:t>
            </w:r>
            <w:r w:rsidR="002B54BC" w:rsidRPr="002B54BC">
              <w:rPr>
                <w:color w:val="FF0000"/>
              </w:rPr>
              <w:t>očet obyvatel obce, ve které je projekt realizován (dle ČSÚ k 1.1. 2023)</w:t>
            </w:r>
            <w:r>
              <w:rPr>
                <w:color w:val="FF0000"/>
              </w:rPr>
              <w:t>.</w:t>
            </w:r>
          </w:p>
        </w:tc>
      </w:tr>
      <w:tr w:rsidR="00A846FF" w:rsidRPr="001C1F58" w14:paraId="451411F7" w14:textId="77777777" w:rsidTr="00A846FF">
        <w:trPr>
          <w:trHeight w:val="115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2BF7F69" w14:textId="77777777" w:rsidR="00A846FF" w:rsidRPr="00A846FF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A846FF">
              <w:rPr>
                <w:rFonts w:cs="Arial"/>
                <w:b/>
                <w:szCs w:val="20"/>
              </w:rPr>
              <w:t xml:space="preserve">stav připravenosti projektu, které zpracované podkladové dokumenty potřebné k předložení projektu má žadatel k dispozici, např. prováděcí studie, podklady pro hodnocení, analýza nákladů a výnosu, stavební povolení atd. </w:t>
            </w:r>
          </w:p>
          <w:p w14:paraId="4E44EBBA" w14:textId="26ED9024" w:rsidR="00A846FF" w:rsidRPr="001C1F58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A846FF" w:rsidRPr="001C1F58" w14:paraId="6B90538B" w14:textId="77777777" w:rsidTr="00531ED6">
        <w:trPr>
          <w:trHeight w:val="2094"/>
          <w:jc w:val="center"/>
        </w:trPr>
        <w:tc>
          <w:tcPr>
            <w:tcW w:w="9042" w:type="dxa"/>
            <w:shd w:val="clear" w:color="auto" w:fill="auto"/>
          </w:tcPr>
          <w:p w14:paraId="0E277DFA" w14:textId="77777777" w:rsidR="00811BC5" w:rsidRDefault="00D7322E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135FDD">
              <w:rPr>
                <w:rFonts w:cs="Arial"/>
                <w:b/>
                <w:bCs/>
                <w:color w:val="FF0000"/>
                <w:szCs w:val="20"/>
              </w:rPr>
              <w:t>Stručně popište</w:t>
            </w:r>
            <w:r w:rsidRPr="00D7322E">
              <w:rPr>
                <w:rFonts w:cs="Arial"/>
                <w:color w:val="FF0000"/>
                <w:szCs w:val="20"/>
              </w:rPr>
              <w:t xml:space="preserve"> stav</w:t>
            </w:r>
            <w:r>
              <w:rPr>
                <w:rFonts w:cs="Arial"/>
                <w:color w:val="FF0000"/>
                <w:szCs w:val="20"/>
              </w:rPr>
              <w:t xml:space="preserve"> přípravy projektového záměru včetně uvedení, které dokumenty pro podání žádosti </w:t>
            </w:r>
            <w:r w:rsidR="00811BC5">
              <w:rPr>
                <w:rFonts w:cs="Arial"/>
                <w:color w:val="FF0000"/>
                <w:szCs w:val="20"/>
              </w:rPr>
              <w:t>o podporu již máte vyhotoveny. Popište</w:t>
            </w:r>
            <w:r w:rsidR="00F83991">
              <w:rPr>
                <w:rFonts w:cs="Arial"/>
                <w:color w:val="FF0000"/>
                <w:szCs w:val="20"/>
              </w:rPr>
              <w:t>,</w:t>
            </w:r>
            <w:r w:rsidR="00811BC5">
              <w:rPr>
                <w:rFonts w:cs="Arial"/>
                <w:color w:val="FF0000"/>
                <w:szCs w:val="20"/>
              </w:rPr>
              <w:t xml:space="preserve"> zda projekt je v realizaci, v přípravě výběrového řízení, zda má vydáno platné stavební povolení </w:t>
            </w:r>
            <w:r w:rsidR="00F83991">
              <w:rPr>
                <w:rFonts w:cs="Arial"/>
                <w:color w:val="FF0000"/>
                <w:szCs w:val="20"/>
              </w:rPr>
              <w:t xml:space="preserve">nebo do kdy se očekává vydání stavebního povolení nebo jiného dokumentu opravňujícího projekt realizovat </w:t>
            </w:r>
            <w:r w:rsidR="00811BC5">
              <w:rPr>
                <w:rFonts w:cs="Arial"/>
                <w:color w:val="FF0000"/>
                <w:szCs w:val="20"/>
              </w:rPr>
              <w:t>a další relevantní informace podle rozsahu projektu.</w:t>
            </w:r>
          </w:p>
          <w:p w14:paraId="77E8847B" w14:textId="77777777" w:rsidR="005220FC" w:rsidRDefault="005220FC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  <w:p w14:paraId="3DB056E1" w14:textId="714C6FF2" w:rsidR="005220FC" w:rsidRDefault="005220FC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5220FC">
              <w:rPr>
                <w:rFonts w:cs="Arial"/>
                <w:color w:val="FF0000"/>
                <w:szCs w:val="20"/>
              </w:rPr>
              <w:t xml:space="preserve">V projektovém záměru </w:t>
            </w:r>
            <w:r w:rsidR="002B54BC">
              <w:rPr>
                <w:rFonts w:cs="Arial"/>
                <w:color w:val="FF0000"/>
                <w:szCs w:val="20"/>
              </w:rPr>
              <w:t>popište</w:t>
            </w:r>
            <w:r w:rsidRPr="005220FC">
              <w:rPr>
                <w:rFonts w:cs="Arial"/>
                <w:color w:val="FF0000"/>
                <w:szCs w:val="20"/>
              </w:rPr>
              <w:t xml:space="preserve"> vazb</w:t>
            </w:r>
            <w:r w:rsidR="002B54BC">
              <w:rPr>
                <w:rFonts w:cs="Arial"/>
                <w:color w:val="FF0000"/>
                <w:szCs w:val="20"/>
              </w:rPr>
              <w:t>u</w:t>
            </w:r>
            <w:r w:rsidRPr="005220FC">
              <w:rPr>
                <w:rFonts w:cs="Arial"/>
                <w:color w:val="FF0000"/>
                <w:szCs w:val="20"/>
              </w:rPr>
              <w:t xml:space="preserve"> na konkrétní kapitolu Koncepce ochrany obyvatelstva do roku 2025 s výhledem do roku 2030</w:t>
            </w:r>
            <w:r w:rsidR="002B54BC">
              <w:rPr>
                <w:rFonts w:cs="Arial"/>
                <w:color w:val="FF0000"/>
                <w:szCs w:val="20"/>
              </w:rPr>
              <w:t xml:space="preserve">, popište </w:t>
            </w:r>
            <w:r w:rsidRPr="005220FC">
              <w:rPr>
                <w:rFonts w:cs="Arial"/>
                <w:color w:val="FF0000"/>
                <w:szCs w:val="20"/>
              </w:rPr>
              <w:t>vazb</w:t>
            </w:r>
            <w:r w:rsidR="002B54BC">
              <w:rPr>
                <w:rFonts w:cs="Arial"/>
                <w:color w:val="FF0000"/>
                <w:szCs w:val="20"/>
              </w:rPr>
              <w:t>u</w:t>
            </w:r>
            <w:r w:rsidRPr="005220FC">
              <w:rPr>
                <w:rFonts w:cs="Arial"/>
                <w:color w:val="FF0000"/>
                <w:szCs w:val="20"/>
              </w:rPr>
              <w:t xml:space="preserve"> na konkrétní kapitolu Strategie přizpůsobení se změně klimatu v podmínkách ČR v aktuálním znění</w:t>
            </w:r>
            <w:r w:rsidR="002B54BC">
              <w:rPr>
                <w:rFonts w:cs="Arial"/>
                <w:color w:val="FF0000"/>
                <w:szCs w:val="20"/>
              </w:rPr>
              <w:t>.</w:t>
            </w:r>
          </w:p>
          <w:p w14:paraId="2CA21CA8" w14:textId="77777777" w:rsidR="005220FC" w:rsidRDefault="005220FC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  <w:p w14:paraId="41B2F998" w14:textId="2CD6C0F8" w:rsidR="005220FC" w:rsidRPr="005220FC" w:rsidRDefault="002B54BC" w:rsidP="005220FC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Popište</w:t>
            </w:r>
            <w:r w:rsidR="005220FC" w:rsidRPr="005220FC">
              <w:rPr>
                <w:rFonts w:cs="Arial"/>
                <w:color w:val="FF0000"/>
                <w:szCs w:val="20"/>
              </w:rPr>
              <w:t xml:space="preserve">, že </w:t>
            </w:r>
            <w:r>
              <w:rPr>
                <w:rFonts w:cs="Arial"/>
                <w:color w:val="FF0000"/>
                <w:szCs w:val="20"/>
              </w:rPr>
              <w:t xml:space="preserve">projekt </w:t>
            </w:r>
            <w:r w:rsidR="005220FC" w:rsidRPr="005220FC">
              <w:rPr>
                <w:rFonts w:cs="Arial"/>
                <w:color w:val="FF0000"/>
                <w:szCs w:val="20"/>
              </w:rPr>
              <w:t>přispívá:</w:t>
            </w:r>
          </w:p>
          <w:p w14:paraId="0A1E050D" w14:textId="77777777" w:rsidR="005220FC" w:rsidRPr="005220FC" w:rsidRDefault="005220FC" w:rsidP="005220FC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5220FC">
              <w:rPr>
                <w:rFonts w:cs="Arial"/>
                <w:color w:val="FF0000"/>
                <w:szCs w:val="20"/>
              </w:rPr>
              <w:t>- Ke snížení negativních jevů mimořádných událostí</w:t>
            </w:r>
          </w:p>
          <w:p w14:paraId="3CB48C7B" w14:textId="77777777" w:rsidR="005220FC" w:rsidRPr="005220FC" w:rsidRDefault="005220FC" w:rsidP="005220FC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5220FC">
              <w:rPr>
                <w:rFonts w:cs="Arial"/>
                <w:color w:val="FF0000"/>
                <w:szCs w:val="20"/>
              </w:rPr>
              <w:t>- a/nebo ke zvýšení kvality záchranných a likvidačních prací</w:t>
            </w:r>
          </w:p>
          <w:p w14:paraId="757E0C78" w14:textId="77777777" w:rsidR="005220FC" w:rsidRPr="005220FC" w:rsidRDefault="005220FC" w:rsidP="005220FC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5220FC">
              <w:rPr>
                <w:rFonts w:cs="Arial"/>
                <w:color w:val="FF0000"/>
                <w:szCs w:val="20"/>
              </w:rPr>
              <w:t>- a/nebo ke snížení časové dotace potřebné při záchranných a likvidačních prací při řešení</w:t>
            </w:r>
          </w:p>
          <w:p w14:paraId="6DF0F113" w14:textId="77777777" w:rsidR="005220FC" w:rsidRDefault="005220FC" w:rsidP="005220FC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5220FC">
              <w:rPr>
                <w:rFonts w:cs="Arial"/>
                <w:color w:val="FF0000"/>
                <w:szCs w:val="20"/>
              </w:rPr>
              <w:t>mimořádných událostí.</w:t>
            </w:r>
          </w:p>
          <w:p w14:paraId="4863022F" w14:textId="77777777" w:rsidR="005220FC" w:rsidRDefault="005220FC" w:rsidP="005220FC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  <w:p w14:paraId="1B54FF50" w14:textId="7650CAFB" w:rsidR="002B54BC" w:rsidRDefault="002B54BC" w:rsidP="005220FC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Blíže popište, zda je doloženo </w:t>
            </w:r>
            <w:r w:rsidRPr="005220FC">
              <w:rPr>
                <w:rFonts w:cs="Arial"/>
                <w:color w:val="FF0000"/>
                <w:szCs w:val="20"/>
              </w:rPr>
              <w:t>Stanovisko HZS ČR, které obsahuje souhlas HZS ČR s realizací projektu</w:t>
            </w:r>
            <w:r>
              <w:rPr>
                <w:rFonts w:cs="Arial"/>
                <w:color w:val="FF0000"/>
                <w:szCs w:val="20"/>
              </w:rPr>
              <w:t>.</w:t>
            </w:r>
          </w:p>
          <w:p w14:paraId="2D4BDF46" w14:textId="77777777" w:rsidR="005220FC" w:rsidRDefault="005220FC" w:rsidP="005220FC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  <w:p w14:paraId="43648D28" w14:textId="77777777" w:rsidR="005220FC" w:rsidRPr="002B54BC" w:rsidRDefault="005220FC" w:rsidP="005220FC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2B54BC">
              <w:rPr>
                <w:rFonts w:cs="Arial"/>
                <w:b/>
                <w:bCs/>
                <w:color w:val="FF0000"/>
                <w:szCs w:val="20"/>
              </w:rPr>
              <w:t>Podaktivita pořízení materiálně-technického vybavení:</w:t>
            </w:r>
          </w:p>
          <w:p w14:paraId="658972E9" w14:textId="7806452D" w:rsidR="005220FC" w:rsidRDefault="002B54BC" w:rsidP="005220FC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Popište, zda je p</w:t>
            </w:r>
            <w:r w:rsidR="005220FC" w:rsidRPr="005220FC">
              <w:rPr>
                <w:rFonts w:cs="Arial"/>
                <w:color w:val="FF0000"/>
                <w:szCs w:val="20"/>
              </w:rPr>
              <w:t>rojektový záměr v souladu s dokumentem Parametry pro stavby a normativ materiálně technického vybavení pro výkon činností jednotek SDH obcí</w:t>
            </w:r>
            <w:r>
              <w:rPr>
                <w:rFonts w:cs="Arial"/>
                <w:color w:val="FF0000"/>
                <w:szCs w:val="20"/>
              </w:rPr>
              <w:t>.</w:t>
            </w:r>
          </w:p>
          <w:p w14:paraId="55803BDE" w14:textId="77777777" w:rsidR="005220FC" w:rsidRDefault="005220FC" w:rsidP="005220FC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  <w:p w14:paraId="4562E618" w14:textId="77777777" w:rsidR="005220FC" w:rsidRPr="002B54BC" w:rsidRDefault="005220FC" w:rsidP="005220FC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2B54BC">
              <w:rPr>
                <w:rFonts w:cs="Arial"/>
                <w:b/>
                <w:bCs/>
                <w:color w:val="FF0000"/>
                <w:szCs w:val="20"/>
              </w:rPr>
              <w:t>Podaktivita umělé vodní požární nádrže</w:t>
            </w:r>
          </w:p>
          <w:p w14:paraId="776B545C" w14:textId="2B949E4C" w:rsidR="002B54BC" w:rsidRPr="00531ED6" w:rsidRDefault="002B54BC" w:rsidP="002B54BC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Popište, zda je p</w:t>
            </w:r>
            <w:r w:rsidR="005220FC" w:rsidRPr="005220FC">
              <w:rPr>
                <w:rFonts w:cs="Arial"/>
                <w:color w:val="FF0000"/>
                <w:szCs w:val="20"/>
              </w:rPr>
              <w:t>rojektový záměr zaměřen na umělou vodní požární nádrž podle normy ČSN 75 2411</w:t>
            </w:r>
            <w:r>
              <w:rPr>
                <w:rFonts w:cs="Arial"/>
                <w:color w:val="FF0000"/>
                <w:szCs w:val="20"/>
              </w:rPr>
              <w:t xml:space="preserve"> a zda je u</w:t>
            </w:r>
            <w:r w:rsidR="005220FC" w:rsidRPr="005220FC">
              <w:rPr>
                <w:rFonts w:cs="Arial"/>
                <w:color w:val="FF0000"/>
                <w:szCs w:val="20"/>
              </w:rPr>
              <w:t>mělá vodní požární nádrž ve vlastnictví obce/města</w:t>
            </w:r>
            <w:r>
              <w:rPr>
                <w:rFonts w:cs="Arial"/>
                <w:color w:val="FF0000"/>
                <w:szCs w:val="20"/>
              </w:rPr>
              <w:t>.</w:t>
            </w:r>
          </w:p>
        </w:tc>
      </w:tr>
      <w:tr w:rsidR="00D7322E" w:rsidRPr="001C1F58" w14:paraId="7B2621A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FD901B7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podání žádosti o podporu do výzvy ŘO</w:t>
            </w:r>
          </w:p>
          <w:p w14:paraId="518BCC36" w14:textId="63239049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0D210BAD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4C68260" w14:textId="23ED009F" w:rsidR="00D7322E" w:rsidRPr="00D7322E" w:rsidRDefault="00D7322E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 podání plné žádosti o podporu při zohlednění skutečnosti, že Vyjádření MAS má omezenou platnost</w:t>
            </w:r>
            <w:r w:rsidR="002B54BC">
              <w:rPr>
                <w:rFonts w:cs="Arial"/>
                <w:color w:val="FF0000"/>
                <w:szCs w:val="20"/>
              </w:rPr>
              <w:t>.</w:t>
            </w:r>
          </w:p>
          <w:p w14:paraId="52F14641" w14:textId="36E7C6E8" w:rsidR="00D7322E" w:rsidRPr="001C1F58" w:rsidRDefault="00D7322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58928F4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67EDB1DB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zahájení fyzické realizace projektu (měsíc/rok)</w:t>
            </w:r>
          </w:p>
          <w:p w14:paraId="065A7DA3" w14:textId="24CD0B5B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42697C8A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5791D64" w14:textId="5FB5D42C" w:rsidR="00D7322E" w:rsidRPr="001C1F58" w:rsidRDefault="00D7322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</w:tc>
      </w:tr>
      <w:tr w:rsidR="00D7322E" w:rsidRPr="001C1F58" w14:paraId="7D1C07D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4FF60E98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ukončení fyzické realizace projektu (měsíc/rok)</w:t>
            </w:r>
          </w:p>
          <w:p w14:paraId="4CDAB344" w14:textId="56E5FBB4" w:rsidR="00D7322E" w:rsidRPr="001C1F58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D7322E" w:rsidRPr="001C1F58" w14:paraId="37D51B26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5ABE6D2E" w14:textId="77777777" w:rsidR="00D7322E" w:rsidRDefault="00D7322E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  <w:p w14:paraId="293A2CCA" w14:textId="646D9372" w:rsidR="00A52F40" w:rsidRPr="00D7322E" w:rsidRDefault="00A52F40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D7322E" w:rsidRPr="001C1F58" w14:paraId="25677178" w14:textId="77777777" w:rsidTr="006A7F6E">
        <w:trPr>
          <w:trHeight w:val="735"/>
          <w:jc w:val="center"/>
        </w:trPr>
        <w:tc>
          <w:tcPr>
            <w:tcW w:w="9042" w:type="dxa"/>
            <w:shd w:val="clear" w:color="auto" w:fill="DFD0CB"/>
            <w:vAlign w:val="center"/>
          </w:tcPr>
          <w:p w14:paraId="058DA108" w14:textId="4B779130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 xml:space="preserve">vazba projektu na </w:t>
            </w:r>
            <w:r>
              <w:rPr>
                <w:rFonts w:cs="Arial"/>
                <w:b/>
                <w:szCs w:val="20"/>
              </w:rPr>
              <w:t>strategické dokumenty</w:t>
            </w:r>
          </w:p>
        </w:tc>
      </w:tr>
      <w:tr w:rsidR="00D7322E" w:rsidRPr="001C1F58" w14:paraId="2B011BA9" w14:textId="77777777" w:rsidTr="002B54BC">
        <w:trPr>
          <w:trHeight w:val="1776"/>
          <w:jc w:val="center"/>
        </w:trPr>
        <w:tc>
          <w:tcPr>
            <w:tcW w:w="9042" w:type="dxa"/>
            <w:shd w:val="clear" w:color="auto" w:fill="auto"/>
          </w:tcPr>
          <w:p w14:paraId="5C128ED8" w14:textId="4C5B407E" w:rsidR="00D7322E" w:rsidRPr="00BE5D62" w:rsidRDefault="00D7322E" w:rsidP="00811BC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BE5D62">
              <w:rPr>
                <w:rFonts w:cs="Arial"/>
                <w:color w:val="FF0000"/>
                <w:szCs w:val="20"/>
              </w:rPr>
              <w:t>Popište soulad se strategi</w:t>
            </w:r>
            <w:r w:rsidR="00811BC5" w:rsidRPr="00BE5D62">
              <w:rPr>
                <w:rFonts w:cs="Arial"/>
                <w:color w:val="FF0000"/>
                <w:szCs w:val="20"/>
              </w:rPr>
              <w:t>í</w:t>
            </w:r>
            <w:r w:rsidRPr="00BE5D62">
              <w:rPr>
                <w:rFonts w:cs="Arial"/>
                <w:color w:val="FF0000"/>
                <w:szCs w:val="20"/>
              </w:rPr>
              <w:t xml:space="preserve"> MAS Jablunkovsko. Upozorňujeme, že se jedná o nenapravitelné kritérium</w:t>
            </w:r>
            <w:r w:rsidR="00811BC5" w:rsidRPr="00BE5D62">
              <w:rPr>
                <w:rFonts w:cs="Arial"/>
                <w:color w:val="FF0000"/>
                <w:szCs w:val="20"/>
              </w:rPr>
              <w:t xml:space="preserve"> a žadatel nemůže být vyzván k opravě. Strategie MAS Jablunkovsko je dostupná na odkaze: </w:t>
            </w:r>
            <w:hyperlink r:id="rId15" w:history="1">
              <w:r w:rsidR="00811BC5" w:rsidRPr="00BE5D62">
                <w:rPr>
                  <w:rStyle w:val="Hypertextovodkaz"/>
                  <w:rFonts w:cs="Arial"/>
                  <w:szCs w:val="20"/>
                </w:rPr>
                <w:t>https://www.masjablunkovsko.cz/strategie-mas-jablunkovsko?action=detail&amp;id=4</w:t>
              </w:r>
            </w:hyperlink>
          </w:p>
          <w:p w14:paraId="402CA6DC" w14:textId="77777777" w:rsidR="00811BC5" w:rsidRPr="00811BC5" w:rsidRDefault="00811BC5" w:rsidP="00811BC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  <w:p w14:paraId="579993A9" w14:textId="14CEB32D" w:rsidR="00811BC5" w:rsidRPr="00064872" w:rsidRDefault="005D2846" w:rsidP="00064872">
            <w:pPr>
              <w:rPr>
                <w:color w:val="FF0000"/>
              </w:rPr>
            </w:pPr>
            <w:r>
              <w:rPr>
                <w:color w:val="FF0000"/>
              </w:rPr>
              <w:t xml:space="preserve">Popište soulad s dalšími strategiemi dle Specifických pravidel pro žadatele a příjemce IROP pro výzvu č. </w:t>
            </w:r>
            <w:r w:rsidR="00F43F3C">
              <w:rPr>
                <w:color w:val="FF0000"/>
              </w:rPr>
              <w:t>61</w:t>
            </w:r>
            <w:r>
              <w:rPr>
                <w:color w:val="FF0000"/>
              </w:rPr>
              <w:t>.</w:t>
            </w:r>
          </w:p>
          <w:p w14:paraId="498FC18D" w14:textId="4AE89499" w:rsidR="00811BC5" w:rsidRPr="00D7322E" w:rsidRDefault="00811BC5" w:rsidP="00811BC5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</w:tr>
    </w:tbl>
    <w:p w14:paraId="0BA8992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1529"/>
        <w:gridCol w:w="1113"/>
      </w:tblGrid>
      <w:tr w:rsidR="00C13769" w:rsidRPr="001C1F58" w14:paraId="5C4172F1" w14:textId="77777777" w:rsidTr="00D6276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CAC47BE" w14:textId="6E4D7AFE" w:rsidR="00C13769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849063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4A7A2A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59F4FBB" w14:textId="05A096AD" w:rsidR="00C13769" w:rsidRPr="001C1F58" w:rsidRDefault="00964BC2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Podpora ve výši </w:t>
            </w:r>
            <w:proofErr w:type="gramStart"/>
            <w:r>
              <w:rPr>
                <w:rFonts w:cs="Arial"/>
                <w:szCs w:val="20"/>
              </w:rPr>
              <w:t>95%</w:t>
            </w:r>
            <w:proofErr w:type="gramEnd"/>
            <w:r>
              <w:rPr>
                <w:rFonts w:cs="Arial"/>
                <w:szCs w:val="20"/>
              </w:rPr>
              <w:t xml:space="preserve"> celkových způsobilých výdajů</w:t>
            </w:r>
            <w:r w:rsidR="00C13769"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5BC28AFB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0B8F627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3F044819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CC10E6F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5"/>
        <w:gridCol w:w="979"/>
        <w:gridCol w:w="2267"/>
        <w:gridCol w:w="1242"/>
        <w:gridCol w:w="1263"/>
        <w:gridCol w:w="1166"/>
      </w:tblGrid>
      <w:tr w:rsidR="00EB52FD" w:rsidRPr="001C1F58" w14:paraId="6657C722" w14:textId="77777777" w:rsidTr="00342FFD">
        <w:trPr>
          <w:trHeight w:val="885"/>
          <w:jc w:val="center"/>
        </w:trPr>
        <w:tc>
          <w:tcPr>
            <w:tcW w:w="2125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05DE626C" w:rsidR="004E4B1D" w:rsidRPr="001C1F58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INDIKÁTORY PROJEKTU</w:t>
            </w:r>
            <w:r w:rsidR="009668A3">
              <w:rPr>
                <w:rFonts w:cs="Arial"/>
                <w:b/>
                <w:bCs/>
                <w:szCs w:val="20"/>
              </w:rPr>
              <w:t>*</w:t>
            </w:r>
            <w:r w:rsidRPr="001C1F58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93CD09A" w14:textId="77777777" w:rsidR="004E4B1D" w:rsidRPr="00D62762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6D1B8546" w14:textId="77777777" w:rsidR="004E4B1D" w:rsidRPr="00D62762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53D4CCC2" w14:textId="77777777" w:rsidR="004E4B1D" w:rsidRPr="00D62762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25C011E9" w14:textId="77777777" w:rsidR="004E4B1D" w:rsidRPr="00D62762" w:rsidRDefault="004E4B1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C62D37A" w14:textId="12F2EB8E" w:rsidR="004E4B1D" w:rsidRPr="00D62762" w:rsidRDefault="004E4B1D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EB52FD" w:rsidRPr="001C1F58" w14:paraId="316FA2AB" w14:textId="77777777" w:rsidTr="00342FFD">
        <w:trPr>
          <w:trHeight w:val="255"/>
          <w:jc w:val="center"/>
        </w:trPr>
        <w:tc>
          <w:tcPr>
            <w:tcW w:w="2125" w:type="dxa"/>
            <w:vMerge/>
            <w:shd w:val="clear" w:color="auto" w:fill="DFD0CB"/>
            <w:vAlign w:val="center"/>
            <w:hideMark/>
          </w:tcPr>
          <w:p w14:paraId="507F5F0F" w14:textId="77777777" w:rsidR="00EB52FD" w:rsidRPr="001C1F58" w:rsidRDefault="00EB52FD" w:rsidP="00EB52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14:paraId="416E9804" w14:textId="3DEB6222" w:rsidR="00EB52FD" w:rsidRPr="009668A3" w:rsidRDefault="004E2325" w:rsidP="00EB52F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ascii="Calibri" w:eastAsia="Calibri" w:hAnsi="Calibri" w:cs="Calibri"/>
              </w:rPr>
              <w:t>324 041</w:t>
            </w:r>
            <w:r w:rsidR="00EB52FD" w:rsidRPr="002F356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noWrap/>
            <w:hideMark/>
          </w:tcPr>
          <w:p w14:paraId="4ACABBED" w14:textId="4352CFC4" w:rsidR="00EB52FD" w:rsidRPr="009668A3" w:rsidRDefault="004E2325" w:rsidP="00EB52F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ascii="Calibri" w:eastAsia="Calibri" w:hAnsi="Calibri" w:cs="Calibri"/>
              </w:rPr>
              <w:t>Veřejné budovy s nižší energetickou náročností</w:t>
            </w:r>
            <w:r w:rsidR="00EB52FD" w:rsidRPr="002F356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E985135" w14:textId="04CC1FD5" w:rsidR="00EB52FD" w:rsidRPr="00B91736" w:rsidRDefault="00EC5AFB" w:rsidP="00EB52FD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M2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14703D7E" w14:textId="219BE806" w:rsidR="00EB52FD" w:rsidRPr="00B91736" w:rsidRDefault="00EB52FD" w:rsidP="00EB52FD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 xml:space="preserve">doplňte 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11017D9" w14:textId="7520E10E" w:rsidR="00EB52FD" w:rsidRPr="00B91736" w:rsidRDefault="00EB52FD" w:rsidP="00EB52FD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EB52FD" w:rsidRPr="001C1F58" w14:paraId="735C15A9" w14:textId="77777777" w:rsidTr="00342FFD">
        <w:trPr>
          <w:trHeight w:val="255"/>
          <w:jc w:val="center"/>
        </w:trPr>
        <w:tc>
          <w:tcPr>
            <w:tcW w:w="2125" w:type="dxa"/>
            <w:vMerge/>
            <w:shd w:val="clear" w:color="auto" w:fill="DFD0CB"/>
            <w:vAlign w:val="center"/>
            <w:hideMark/>
          </w:tcPr>
          <w:p w14:paraId="22C054DD" w14:textId="77777777" w:rsidR="00EB52FD" w:rsidRPr="001C1F58" w:rsidRDefault="00EB52FD" w:rsidP="00EB52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14:paraId="4784547D" w14:textId="192877ED" w:rsidR="00EB52FD" w:rsidRPr="009668A3" w:rsidRDefault="004E2325" w:rsidP="00EB52F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ascii="Calibri" w:eastAsia="Calibri" w:hAnsi="Calibri" w:cs="Calibri"/>
              </w:rPr>
              <w:t>575 012</w:t>
            </w:r>
            <w:r w:rsidR="00EB52FD" w:rsidRPr="002F356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noWrap/>
            <w:hideMark/>
          </w:tcPr>
          <w:p w14:paraId="3AAA0DB6" w14:textId="415F6896" w:rsidR="00EB52FD" w:rsidRPr="009668A3" w:rsidRDefault="00427C73" w:rsidP="00EB52F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ascii="Calibri" w:eastAsia="Calibri" w:hAnsi="Calibri" w:cs="Calibri"/>
              </w:rPr>
              <w:t>Nové či zodolněné objekty sloužící složkám IZS</w:t>
            </w:r>
            <w:r w:rsidR="00EB52FD" w:rsidRPr="002F356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8DCD1D7" w14:textId="5D85F39F" w:rsidR="00EB52FD" w:rsidRPr="00B91736" w:rsidRDefault="00EB52FD" w:rsidP="00EB52FD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B91736">
              <w:rPr>
                <w:rFonts w:cs="Arial"/>
                <w:bCs/>
                <w:color w:val="FF0000"/>
                <w:szCs w:val="20"/>
              </w:rPr>
              <w:t xml:space="preserve"> </w:t>
            </w:r>
            <w:r w:rsidR="0023498C">
              <w:rPr>
                <w:rFonts w:cs="Arial"/>
                <w:bCs/>
                <w:color w:val="FF0000"/>
                <w:szCs w:val="20"/>
              </w:rPr>
              <w:t>objekty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3A6AECF6" w14:textId="13382201" w:rsidR="00EB52FD" w:rsidRPr="00B91736" w:rsidRDefault="00EB52FD" w:rsidP="00EB52FD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09A1D1F" w14:textId="5B1F9FFF" w:rsidR="00EB52FD" w:rsidRPr="00B91736" w:rsidRDefault="00EB52FD" w:rsidP="00EB52FD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EB52FD" w:rsidRPr="001C1F58" w14:paraId="32B794F0" w14:textId="77777777" w:rsidTr="00342FFD">
        <w:trPr>
          <w:trHeight w:val="255"/>
          <w:jc w:val="center"/>
        </w:trPr>
        <w:tc>
          <w:tcPr>
            <w:tcW w:w="2125" w:type="dxa"/>
            <w:vMerge/>
            <w:shd w:val="clear" w:color="auto" w:fill="DFD0CB"/>
            <w:vAlign w:val="center"/>
          </w:tcPr>
          <w:p w14:paraId="0D36F2C2" w14:textId="77777777" w:rsidR="00EB52FD" w:rsidRPr="001C1F58" w:rsidRDefault="00EB52FD" w:rsidP="00EB52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79" w:type="dxa"/>
            <w:shd w:val="clear" w:color="auto" w:fill="auto"/>
            <w:noWrap/>
          </w:tcPr>
          <w:p w14:paraId="100BC0BD" w14:textId="2D26B8EA" w:rsidR="00EB52FD" w:rsidRPr="001D65E8" w:rsidRDefault="00427C73" w:rsidP="00EB52F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ascii="Calibri" w:eastAsia="Calibri" w:hAnsi="Calibri" w:cs="Calibri"/>
              </w:rPr>
              <w:t>570 012</w:t>
            </w:r>
            <w:r w:rsidR="00EB52FD" w:rsidRPr="002F356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noWrap/>
          </w:tcPr>
          <w:p w14:paraId="2DEDD858" w14:textId="6A2E390A" w:rsidR="00EB52FD" w:rsidRPr="001D65E8" w:rsidRDefault="00427C73" w:rsidP="00EB52F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Počet nových věcných </w:t>
            </w:r>
            <w:r w:rsidR="009439B2">
              <w:rPr>
                <w:rFonts w:ascii="Calibri" w:eastAsia="Calibri" w:hAnsi="Calibri" w:cs="Calibri"/>
              </w:rPr>
              <w:t>prostředků složek IZS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8917EF7" w14:textId="47280936" w:rsidR="00EB52FD" w:rsidRPr="00B91736" w:rsidRDefault="009B6C57" w:rsidP="00EB52FD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set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0C078CA" w14:textId="24453F28" w:rsidR="00EB52FD" w:rsidRPr="00B91736" w:rsidRDefault="00EB52FD" w:rsidP="00EB52FD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2E6938F" w14:textId="108B8963" w:rsidR="00EB52FD" w:rsidRPr="00B91736" w:rsidRDefault="00EB52FD" w:rsidP="00EB52FD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EB52FD" w:rsidRPr="001C1F58" w14:paraId="13D507AC" w14:textId="77777777" w:rsidTr="00342FFD">
        <w:trPr>
          <w:trHeight w:val="255"/>
          <w:jc w:val="center"/>
        </w:trPr>
        <w:tc>
          <w:tcPr>
            <w:tcW w:w="2125" w:type="dxa"/>
            <w:vMerge/>
            <w:shd w:val="clear" w:color="auto" w:fill="DFD0CB"/>
            <w:vAlign w:val="center"/>
          </w:tcPr>
          <w:p w14:paraId="7CB2C37F" w14:textId="77777777" w:rsidR="00EB52FD" w:rsidRPr="001C1F58" w:rsidRDefault="00EB52FD" w:rsidP="00EB52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79" w:type="dxa"/>
            <w:shd w:val="clear" w:color="auto" w:fill="auto"/>
            <w:noWrap/>
          </w:tcPr>
          <w:p w14:paraId="7102CFFA" w14:textId="7C0DB6D6" w:rsidR="00EB52FD" w:rsidRPr="001D65E8" w:rsidRDefault="009439B2" w:rsidP="00EB52F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ascii="Calibri" w:eastAsia="Calibri" w:hAnsi="Calibri" w:cs="Calibri"/>
              </w:rPr>
              <w:t>575 401</w:t>
            </w:r>
            <w:r w:rsidR="00EB52FD" w:rsidRPr="002F356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noWrap/>
          </w:tcPr>
          <w:p w14:paraId="13F198F1" w14:textId="1D965EA9" w:rsidR="00EB52FD" w:rsidRPr="001D65E8" w:rsidRDefault="009439B2" w:rsidP="00EB52F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ascii="Calibri" w:eastAsia="Calibri" w:hAnsi="Calibri" w:cs="Calibri"/>
              </w:rPr>
              <w:t>Počet kusů nové techniky složek IZS</w:t>
            </w:r>
            <w:r w:rsidR="00EB52FD" w:rsidRPr="002F356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685176A" w14:textId="6D9209DA" w:rsidR="00EB52FD" w:rsidRPr="00B91736" w:rsidRDefault="0023498C" w:rsidP="00EB52FD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Technika izs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AE00A63" w14:textId="2692CADF" w:rsidR="00EB52FD" w:rsidRPr="00B91736" w:rsidRDefault="00EB52FD" w:rsidP="00EB52FD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FFB3960" w14:textId="7FE25D67" w:rsidR="00EB52FD" w:rsidRPr="00B91736" w:rsidRDefault="00EB52FD" w:rsidP="00EB52FD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EB52FD" w:rsidRPr="001C1F58" w14:paraId="4D8F0656" w14:textId="77777777" w:rsidTr="00342FFD">
        <w:trPr>
          <w:trHeight w:val="255"/>
          <w:jc w:val="center"/>
        </w:trPr>
        <w:tc>
          <w:tcPr>
            <w:tcW w:w="2125" w:type="dxa"/>
            <w:vMerge/>
            <w:shd w:val="clear" w:color="auto" w:fill="DFD0CB"/>
            <w:vAlign w:val="center"/>
            <w:hideMark/>
          </w:tcPr>
          <w:p w14:paraId="2EB7E7B6" w14:textId="77777777" w:rsidR="00EB52FD" w:rsidRPr="001C1F58" w:rsidRDefault="00EB52FD" w:rsidP="00EB52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14:paraId="6040F992" w14:textId="6BE706F5" w:rsidR="00EB52FD" w:rsidRPr="001D65E8" w:rsidRDefault="00B108C2" w:rsidP="00EB52F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ascii="Calibri" w:eastAsia="Calibri" w:hAnsi="Calibri" w:cs="Calibri"/>
              </w:rPr>
              <w:t>575 101</w:t>
            </w:r>
            <w:r w:rsidR="00EB52FD" w:rsidRPr="002F356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noWrap/>
            <w:hideMark/>
          </w:tcPr>
          <w:p w14:paraId="37B348AE" w14:textId="21FCDF6C" w:rsidR="00EB52FD" w:rsidRPr="001D65E8" w:rsidRDefault="00B108C2" w:rsidP="00EB52F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ascii="Calibri" w:eastAsia="Calibri" w:hAnsi="Calibri" w:cs="Calibri"/>
              </w:rPr>
              <w:t>Počet podpořených umělých zdrojů požární vody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73F8119A" w14:textId="60CEAC9D" w:rsidR="00EB52FD" w:rsidRPr="00B91736" w:rsidRDefault="004120CA" w:rsidP="00EB52FD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Zdroj požární vody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0EC82B59" w14:textId="39582343" w:rsidR="00EB52FD" w:rsidRPr="00B91736" w:rsidRDefault="00EB52FD" w:rsidP="00EB52FD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 Doplňte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8786387" w14:textId="02F40FBD" w:rsidR="00EB52FD" w:rsidRPr="00B91736" w:rsidRDefault="00EB52FD" w:rsidP="00EB52FD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342FFD" w:rsidRPr="001C1F58" w14:paraId="30B792A5" w14:textId="77777777" w:rsidTr="00342FFD">
        <w:trPr>
          <w:trHeight w:val="255"/>
          <w:jc w:val="center"/>
        </w:trPr>
        <w:tc>
          <w:tcPr>
            <w:tcW w:w="2125" w:type="dxa"/>
            <w:vMerge/>
            <w:shd w:val="clear" w:color="auto" w:fill="DFD0CB"/>
            <w:vAlign w:val="center"/>
          </w:tcPr>
          <w:p w14:paraId="18EEF950" w14:textId="77777777" w:rsidR="00EB52FD" w:rsidRPr="001C1F58" w:rsidRDefault="00EB52FD" w:rsidP="00EB52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79" w:type="dxa"/>
            <w:shd w:val="clear" w:color="auto" w:fill="auto"/>
            <w:noWrap/>
          </w:tcPr>
          <w:p w14:paraId="22DF4011" w14:textId="31EAE054" w:rsidR="00EB52FD" w:rsidRPr="002F3564" w:rsidRDefault="00B108C2" w:rsidP="00EB52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323 000</w:t>
            </w:r>
            <w:r w:rsidR="00EB52FD" w:rsidRPr="00EE7D5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noWrap/>
          </w:tcPr>
          <w:p w14:paraId="69A98305" w14:textId="223A48D8" w:rsidR="00EB52FD" w:rsidRPr="002F3564" w:rsidRDefault="00B108C2" w:rsidP="00EB52FD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Snížení konečné spotřeby energie u podpořených subjektů</w:t>
            </w:r>
            <w:r w:rsidR="00EB52FD" w:rsidRPr="00EE7D5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7145586" w14:textId="394EE510" w:rsidR="00EB52FD" w:rsidRPr="00B91736" w:rsidRDefault="00EB52FD" w:rsidP="00342FFD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 </w:t>
            </w:r>
            <w:r w:rsidR="00EC5AFB">
              <w:rPr>
                <w:rFonts w:cs="Arial"/>
                <w:color w:val="FF0000"/>
                <w:szCs w:val="20"/>
              </w:rPr>
              <w:t>GJ/rok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221AF13" w14:textId="7901F4D4" w:rsidR="00EB52FD" w:rsidRPr="00B91736" w:rsidRDefault="00EB52FD" w:rsidP="00EB52FD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 doplňte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1464AFC" w14:textId="5B1A5416" w:rsidR="00EB52FD" w:rsidRPr="00B91736" w:rsidRDefault="00EB52FD" w:rsidP="00EB52FD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EB52FD" w:rsidRPr="001C1F58" w14:paraId="4EA1C6CD" w14:textId="77777777" w:rsidTr="00342FFD">
        <w:trPr>
          <w:trHeight w:val="270"/>
          <w:jc w:val="center"/>
        </w:trPr>
        <w:tc>
          <w:tcPr>
            <w:tcW w:w="2125" w:type="dxa"/>
            <w:vMerge/>
            <w:shd w:val="clear" w:color="auto" w:fill="DFD0CB"/>
            <w:vAlign w:val="center"/>
            <w:hideMark/>
          </w:tcPr>
          <w:p w14:paraId="02F2F859" w14:textId="77777777" w:rsidR="00EB52FD" w:rsidRPr="001C1F58" w:rsidRDefault="00EB52FD" w:rsidP="00EB52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14:paraId="3E2E1F69" w14:textId="3ABA677A" w:rsidR="00EB52FD" w:rsidRPr="001D65E8" w:rsidRDefault="00B108C2" w:rsidP="00EB52F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ascii="Calibri" w:eastAsia="Calibri" w:hAnsi="Calibri" w:cs="Calibri"/>
              </w:rPr>
              <w:t>437 501</w:t>
            </w:r>
            <w:r w:rsidR="00EB52FD" w:rsidRPr="00581C22">
              <w:t xml:space="preserve"> </w:t>
            </w:r>
          </w:p>
        </w:tc>
        <w:tc>
          <w:tcPr>
            <w:tcW w:w="2267" w:type="dxa"/>
            <w:shd w:val="clear" w:color="auto" w:fill="auto"/>
            <w:noWrap/>
            <w:hideMark/>
          </w:tcPr>
          <w:p w14:paraId="0A77D804" w14:textId="36AEFC7B" w:rsidR="00EB52FD" w:rsidRPr="001D65E8" w:rsidRDefault="00B108C2" w:rsidP="00EB52FD">
            <w:pPr>
              <w:spacing w:after="0" w:line="240" w:lineRule="auto"/>
              <w:rPr>
                <w:rFonts w:cs="Arial"/>
                <w:szCs w:val="20"/>
              </w:rPr>
            </w:pPr>
            <w:r>
              <w:t>Počet obyvatel, kteří mají prospěch z opatření na posílení ochrany obyvatelstva před hrozbami spojenými se změnou klimatu a novými hrozbami</w:t>
            </w:r>
            <w:r w:rsidR="00EB52FD" w:rsidRPr="00581C22">
              <w:t xml:space="preserve"> 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2A6C5E7" w14:textId="7B11FDFE" w:rsidR="00EB52FD" w:rsidRPr="00B91736" w:rsidRDefault="00EB52FD" w:rsidP="00342FFD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 </w:t>
            </w:r>
            <w:r w:rsidR="009B6C57">
              <w:rPr>
                <w:rFonts w:cs="Arial"/>
                <w:color w:val="FF0000"/>
                <w:szCs w:val="20"/>
              </w:rPr>
              <w:t>obyvatelé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43030E74" w14:textId="054D8827" w:rsidR="00EB52FD" w:rsidRPr="00B91736" w:rsidRDefault="00EB52FD" w:rsidP="00EB52FD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 doplňte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05316E3" w14:textId="56F71937" w:rsidR="00EB52FD" w:rsidRPr="00B91736" w:rsidRDefault="00EB52FD" w:rsidP="00EB52FD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</w:tr>
    </w:tbl>
    <w:p w14:paraId="1553C33F" w14:textId="49426400" w:rsidR="00964BC2" w:rsidRPr="009668A3" w:rsidRDefault="009668A3" w:rsidP="009668A3">
      <w:pPr>
        <w:rPr>
          <w:i/>
        </w:rPr>
      </w:pPr>
      <w:r w:rsidRPr="009668A3">
        <w:rPr>
          <w:i/>
        </w:rPr>
        <w:t>*Více informací k indikátorům je uvedeno v přílohách Specifický</w:t>
      </w:r>
      <w:r w:rsidR="00EB52FD">
        <w:rPr>
          <w:i/>
        </w:rPr>
        <w:t xml:space="preserve">ch pravidel IROP pro výzvu č. </w:t>
      </w:r>
      <w:r w:rsidR="0019580B">
        <w:rPr>
          <w:i/>
        </w:rPr>
        <w:t>61</w:t>
      </w:r>
    </w:p>
    <w:p w14:paraId="28204EEE" w14:textId="77777777" w:rsidR="00DD23DD" w:rsidRDefault="00DD23DD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342FFD" w:rsidRPr="001C1F58" w14:paraId="2CB08194" w14:textId="77777777" w:rsidTr="007917FF">
        <w:trPr>
          <w:trHeight w:val="270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2F547320" w14:textId="07524C4D" w:rsidR="00342FFD" w:rsidRPr="001C1F58" w:rsidRDefault="00342FFD" w:rsidP="00342FF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hideMark/>
          </w:tcPr>
          <w:p w14:paraId="3EA074E0" w14:textId="6017BF0C" w:rsidR="00342FFD" w:rsidRPr="001C1F58" w:rsidRDefault="00342FFD" w:rsidP="00342F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D247E8">
              <w:rPr>
                <w:b/>
                <w:bCs/>
              </w:rPr>
              <w:t>Doklad prokazující povolení umístění stavby v území dle stavebního zákona</w:t>
            </w:r>
            <w:r>
              <w:t xml:space="preserve"> (dle Specifických pravidel </w:t>
            </w:r>
            <w:r w:rsidR="001B26D5">
              <w:t>61</w:t>
            </w:r>
            <w:r w:rsidRPr="003C2A10">
              <w:t>.</w:t>
            </w:r>
            <w:r>
              <w:t xml:space="preserve"> </w:t>
            </w:r>
            <w:r w:rsidRPr="003C2A10">
              <w:t>výzvy IROP), je-li relevantní</w:t>
            </w:r>
          </w:p>
        </w:tc>
      </w:tr>
      <w:tr w:rsidR="00342FFD" w:rsidRPr="001C1F58" w14:paraId="48B58988" w14:textId="77777777" w:rsidTr="007917FF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C51C28B" w14:textId="77777777" w:rsidR="00342FFD" w:rsidRPr="001C1F58" w:rsidRDefault="00342FFD" w:rsidP="00342FF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</w:tcPr>
          <w:p w14:paraId="07A10E7D" w14:textId="61A363E5" w:rsidR="00342FFD" w:rsidRPr="001C1F58" w:rsidRDefault="00342FFD" w:rsidP="00342F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D247E8">
              <w:rPr>
                <w:b/>
                <w:bCs/>
              </w:rPr>
              <w:t>Doklad prokazující povolení k realizaci stavby</w:t>
            </w:r>
            <w:r w:rsidRPr="003C2A10">
              <w:t xml:space="preserve"> dle stavebního záko</w:t>
            </w:r>
            <w:r>
              <w:t xml:space="preserve">na (dle Specifických pravidel </w:t>
            </w:r>
            <w:r w:rsidR="001B26D5">
              <w:t>61</w:t>
            </w:r>
            <w:r w:rsidRPr="003C2A10">
              <w:t>.</w:t>
            </w:r>
            <w:r>
              <w:t xml:space="preserve"> výzvy IROP), je-</w:t>
            </w:r>
            <w:r w:rsidRPr="003C2A10">
              <w:t>li relevantní</w:t>
            </w:r>
          </w:p>
        </w:tc>
      </w:tr>
      <w:tr w:rsidR="00342FFD" w:rsidRPr="001C1F58" w14:paraId="67534D3F" w14:textId="77777777" w:rsidTr="007917FF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91E98AF" w14:textId="77777777" w:rsidR="00342FFD" w:rsidRPr="001C1F58" w:rsidRDefault="00342FFD" w:rsidP="00342FF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</w:tcPr>
          <w:p w14:paraId="75D429C4" w14:textId="6D8F6CFF" w:rsidR="00342FFD" w:rsidRPr="001C1F58" w:rsidRDefault="00342FFD" w:rsidP="00342F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D247E8">
              <w:rPr>
                <w:b/>
                <w:bCs/>
              </w:rPr>
              <w:t>Plná moc</w:t>
            </w:r>
            <w:r w:rsidRPr="003C2A10">
              <w:t xml:space="preserve"> ve formátu pdf (je-li relevantní) – plná moc nemusí být ověřená a může být podepsána elektronicky nebo vlastnoručně.</w:t>
            </w:r>
          </w:p>
        </w:tc>
      </w:tr>
      <w:tr w:rsidR="00342FFD" w:rsidRPr="001C1F58" w14:paraId="7B94CFE9" w14:textId="77777777" w:rsidTr="001F2A98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D6A3374" w14:textId="77777777" w:rsidR="00342FFD" w:rsidRPr="001C1F58" w:rsidRDefault="00342FFD" w:rsidP="00342FF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E44AC5B" w14:textId="0200AD1E" w:rsidR="00342FFD" w:rsidRPr="001C1F58" w:rsidRDefault="00F24674" w:rsidP="00342F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F24674">
              <w:rPr>
                <w:b/>
                <w:bCs/>
              </w:rPr>
              <w:t>Rozpočet stavebních prací</w:t>
            </w:r>
            <w:r>
              <w:t>, zjednodušený položkový rozpočet stavebních prací a v případě záměrů zaměřených pouze na pořízení vybavení rozpis nákladů (zjednodušený soupis nákladů)</w:t>
            </w:r>
          </w:p>
        </w:tc>
      </w:tr>
      <w:tr w:rsidR="00342FFD" w:rsidRPr="001C1F58" w14:paraId="102EA451" w14:textId="77777777" w:rsidTr="001F2A98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40F490E" w14:textId="77777777" w:rsidR="00342FFD" w:rsidRPr="001C1F58" w:rsidRDefault="00342FFD" w:rsidP="00342FF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</w:tcPr>
          <w:p w14:paraId="59724785" w14:textId="6054D01C" w:rsidR="00342FFD" w:rsidRPr="001C1F58" w:rsidRDefault="00342FFD" w:rsidP="00342F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D247E8">
              <w:rPr>
                <w:b/>
                <w:bCs/>
              </w:rPr>
              <w:t>Podklady pro stanovení kategorií intervencí a kontrolu limitů</w:t>
            </w:r>
            <w:r w:rsidRPr="003C2A10">
              <w:t xml:space="preserve"> (příl</w:t>
            </w:r>
            <w:r>
              <w:t xml:space="preserve">ohy č. 4 Specifických pravidel </w:t>
            </w:r>
            <w:r w:rsidR="001B26D5">
              <w:t>61</w:t>
            </w:r>
            <w:r w:rsidRPr="003C2A10">
              <w:t>.</w:t>
            </w:r>
            <w:r>
              <w:t xml:space="preserve"> </w:t>
            </w:r>
            <w:r w:rsidRPr="003C2A10">
              <w:t>výzvy)</w:t>
            </w:r>
          </w:p>
        </w:tc>
      </w:tr>
      <w:tr w:rsidR="00342FFD" w:rsidRPr="001C1F58" w14:paraId="7D356A9B" w14:textId="77777777" w:rsidTr="007917FF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74919D1" w14:textId="77777777" w:rsidR="00342FFD" w:rsidRPr="001C1F58" w:rsidRDefault="00342FFD" w:rsidP="00342FF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</w:tcPr>
          <w:p w14:paraId="3A7031DB" w14:textId="21CD119B" w:rsidR="00342FFD" w:rsidRPr="00F24674" w:rsidRDefault="008C0A5D" w:rsidP="00E33B75">
            <w:pPr>
              <w:spacing w:after="0" w:line="240" w:lineRule="auto"/>
            </w:pPr>
            <w:r w:rsidRPr="00D247E8">
              <w:rPr>
                <w:b/>
                <w:bCs/>
              </w:rPr>
              <w:t xml:space="preserve">Souhlasné stanovisko HZS </w:t>
            </w:r>
            <w:proofErr w:type="gramStart"/>
            <w:r w:rsidRPr="00D247E8">
              <w:rPr>
                <w:b/>
                <w:bCs/>
              </w:rPr>
              <w:t>ČR</w:t>
            </w:r>
            <w:r w:rsidR="00E33B75">
              <w:t xml:space="preserve"> - Pro</w:t>
            </w:r>
            <w:proofErr w:type="gramEnd"/>
            <w:r w:rsidR="00E33B75">
              <w:t xml:space="preserve"> každou podaktivitu, která je součástí projektu, musí být doloženo samostatné souhlasné stanovisko HZS ČR. Vzory Stanovisek HZS ČR jsou uvedeny v přílohách č. 6 Specifických pravidel podle realizované podaktivity. </w:t>
            </w:r>
          </w:p>
        </w:tc>
      </w:tr>
      <w:tr w:rsidR="00342FFD" w:rsidRPr="001C1F58" w14:paraId="44B3DD0E" w14:textId="77777777" w:rsidTr="001F2A98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33866007" w14:textId="77777777" w:rsidR="00342FFD" w:rsidRPr="001C1F58" w:rsidRDefault="00342FFD" w:rsidP="00342FF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451EABDB" w14:textId="6E778982" w:rsidR="00342FFD" w:rsidRPr="00767000" w:rsidRDefault="008C0A5D" w:rsidP="00502B99">
            <w:pPr>
              <w:spacing w:after="0" w:line="240" w:lineRule="auto"/>
              <w:rPr>
                <w:rFonts w:cs="Arial"/>
                <w:szCs w:val="20"/>
              </w:rPr>
            </w:pPr>
            <w:r w:rsidRPr="00D247E8">
              <w:rPr>
                <w:b/>
                <w:bCs/>
              </w:rPr>
              <w:t>Krycí list výpočtu indikátoru 437 501</w:t>
            </w:r>
            <w:r w:rsidR="00342FFD" w:rsidRPr="00EE7D51">
              <w:t xml:space="preserve"> (dle Specifických pravidel </w:t>
            </w:r>
            <w:r w:rsidR="00502B99">
              <w:t>61</w:t>
            </w:r>
            <w:r w:rsidR="00342FFD">
              <w:t>. výzvy IROP)</w:t>
            </w:r>
            <w:r w:rsidR="00502B99">
              <w:t xml:space="preserve"> - </w:t>
            </w:r>
            <w:r w:rsidR="00F24674">
              <w:t>Žadatel dokládá ke všem žádostem o podporu, ve kterých dojde k výstavbě či rekonstrukci požární zbrojnice, k pořízení nové požární techniky a věcných prostředků požární ochrany, která je využívaná pro činnost jednotek sboru dobrovolných hasičů obcí kategorie JPO II, III a V, případně dojde k vybudování a revitalizaci umělé vodní požární nádrže v obci. Příloha musí být doložena ve formátu a podrobnosti podle vzoru uvedeného v přílohách Specifických pravidel pro žadatele a příjemce pro výzvu č. 61.</w:t>
            </w:r>
          </w:p>
        </w:tc>
      </w:tr>
      <w:tr w:rsidR="00342FFD" w:rsidRPr="001C1F58" w14:paraId="633C5123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731BE214" w14:textId="77777777" w:rsidR="00342FFD" w:rsidRPr="001C1F58" w:rsidRDefault="00342FFD" w:rsidP="00342FF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FBD10DB" w14:textId="4FABE738" w:rsidR="00342FFD" w:rsidRPr="003F3FD8" w:rsidRDefault="00342FFD" w:rsidP="00342FF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9668A3" w:rsidRPr="001C1F58" w14:paraId="6B01B333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3FB4A23B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FC09ADC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668A3" w:rsidRPr="001C1F58" w14:paraId="4E4FF27C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73010977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9D5133E" w14:textId="77777777" w:rsidR="009668A3" w:rsidRPr="001C1F58" w:rsidRDefault="009668A3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7E6D7217" w14:textId="77777777" w:rsidR="00F83991" w:rsidRDefault="00F83991"/>
    <w:p w14:paraId="1BE04FF8" w14:textId="33D9839F" w:rsidR="002C5C32" w:rsidRPr="00F83991" w:rsidRDefault="00F8399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Svým p</w:t>
      </w:r>
      <w:r w:rsidRPr="00F83991">
        <w:rPr>
          <w:rFonts w:cs="Arial"/>
          <w:bCs/>
          <w:szCs w:val="20"/>
        </w:rPr>
        <w:t>odpisem žadatel potvrzuje, že se seznámil s pravidly nadřazené výzvy IROP a že předkládaný záměr je s těmito pravidly v</w:t>
      </w:r>
      <w:r w:rsidR="00135FDD">
        <w:rPr>
          <w:rFonts w:cs="Arial"/>
          <w:bCs/>
          <w:szCs w:val="20"/>
        </w:rPr>
        <w:t> </w:t>
      </w:r>
      <w:r w:rsidRPr="00F83991">
        <w:rPr>
          <w:rFonts w:cs="Arial"/>
          <w:bCs/>
          <w:szCs w:val="20"/>
        </w:rPr>
        <w:t>souladu</w:t>
      </w:r>
      <w:r w:rsidR="00135FDD">
        <w:rPr>
          <w:rFonts w:cs="Arial"/>
          <w:bCs/>
          <w:szCs w:val="20"/>
        </w:rPr>
        <w:t>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E6251" w:rsidRPr="001C1F58" w14:paraId="6B96FAC5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4D2A51F5" w14:textId="5ED5F9B4" w:rsidR="006E6251" w:rsidRPr="00B91736" w:rsidRDefault="006E6251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6E6251" w:rsidRPr="001C1F58" w14:paraId="3842F860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BAB5E07" w14:textId="51D95A96" w:rsidR="006E6251" w:rsidRPr="00B91736" w:rsidRDefault="006E6251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6E6251" w:rsidRPr="001C1F58" w14:paraId="2D576387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2EC266B8" w:rsidR="006E6251" w:rsidRPr="001C1F58" w:rsidRDefault="00BA5D28" w:rsidP="00F839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264B2F04" w14:textId="0D717A04" w:rsidR="006E6251" w:rsidRPr="00B91736" w:rsidRDefault="00F83991" w:rsidP="009319B7">
            <w:pPr>
              <w:spacing w:after="0" w:line="240" w:lineRule="auto"/>
              <w:rPr>
                <w:rFonts w:cs="Arial"/>
                <w:i/>
                <w:color w:val="FF0000"/>
                <w:szCs w:val="20"/>
              </w:rPr>
            </w:pPr>
            <w:r w:rsidRPr="00342FFD">
              <w:rPr>
                <w:rFonts w:cs="Arial"/>
                <w:i/>
                <w:szCs w:val="20"/>
              </w:rPr>
              <w:t>Elektronický podpis</w:t>
            </w: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6250" w14:textId="77777777" w:rsidR="00805CED" w:rsidRDefault="00805CED" w:rsidP="00DC4000">
      <w:pPr>
        <w:spacing w:after="0" w:line="240" w:lineRule="auto"/>
      </w:pPr>
      <w:r>
        <w:separator/>
      </w:r>
    </w:p>
  </w:endnote>
  <w:endnote w:type="continuationSeparator" w:id="0">
    <w:p w14:paraId="4EBE6600" w14:textId="77777777" w:rsidR="00805CED" w:rsidRDefault="00805CED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B44A" w14:textId="77777777" w:rsidR="00805CED" w:rsidRDefault="00805CED" w:rsidP="00DC4000">
      <w:pPr>
        <w:spacing w:after="0" w:line="240" w:lineRule="auto"/>
      </w:pPr>
      <w:r>
        <w:separator/>
      </w:r>
    </w:p>
  </w:footnote>
  <w:footnote w:type="continuationSeparator" w:id="0">
    <w:p w14:paraId="1FD6AA5B" w14:textId="77777777" w:rsidR="00805CED" w:rsidRDefault="00805CED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3DDC99BB" w:rsidR="00DC4000" w:rsidRDefault="002F4B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4D3B76A" wp14:editId="0FA63277">
          <wp:simplePos x="0" y="0"/>
          <wp:positionH relativeFrom="column">
            <wp:posOffset>4937125</wp:posOffset>
          </wp:positionH>
          <wp:positionV relativeFrom="paragraph">
            <wp:posOffset>45720</wp:posOffset>
          </wp:positionV>
          <wp:extent cx="765518" cy="537845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60" cy="538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000">
      <w:rPr>
        <w:noProof/>
        <w:lang w:eastAsia="cs-CZ"/>
      </w:rPr>
      <w:drawing>
        <wp:inline distT="0" distB="0" distL="0" distR="0" wp14:anchorId="207777A8" wp14:editId="659D27AB">
          <wp:extent cx="4701865" cy="640080"/>
          <wp:effectExtent l="0" t="0" r="381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74711" cy="64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4BC6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764"/>
    <w:multiLevelType w:val="hybridMultilevel"/>
    <w:tmpl w:val="95183CB2"/>
    <w:lvl w:ilvl="0" w:tplc="4CE209B4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50F6"/>
    <w:multiLevelType w:val="hybridMultilevel"/>
    <w:tmpl w:val="476ED6FA"/>
    <w:lvl w:ilvl="0" w:tplc="EE1679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A2B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4123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2DE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26D8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6EFF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635E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5E9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661A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371016"/>
    <w:multiLevelType w:val="hybridMultilevel"/>
    <w:tmpl w:val="BA167C06"/>
    <w:lvl w:ilvl="0" w:tplc="727A5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37617"/>
    <w:multiLevelType w:val="hybridMultilevel"/>
    <w:tmpl w:val="2E584902"/>
    <w:lvl w:ilvl="0" w:tplc="4ED231B6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8D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AF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450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835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026B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CC3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5EDD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46F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4F1F71"/>
    <w:multiLevelType w:val="hybridMultilevel"/>
    <w:tmpl w:val="2C82D9C4"/>
    <w:lvl w:ilvl="0" w:tplc="0B9EEC2A">
      <w:start w:val="1"/>
      <w:numFmt w:val="bullet"/>
      <w:lvlText w:val="•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EF498">
      <w:start w:val="1"/>
      <w:numFmt w:val="bullet"/>
      <w:lvlText w:val="o"/>
      <w:lvlJc w:val="left"/>
      <w:pPr>
        <w:ind w:left="1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B48B06">
      <w:start w:val="1"/>
      <w:numFmt w:val="bullet"/>
      <w:lvlText w:val="▪"/>
      <w:lvlJc w:val="left"/>
      <w:pPr>
        <w:ind w:left="2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45BB0">
      <w:start w:val="1"/>
      <w:numFmt w:val="bullet"/>
      <w:lvlText w:val="•"/>
      <w:lvlJc w:val="left"/>
      <w:pPr>
        <w:ind w:left="3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A5782">
      <w:start w:val="1"/>
      <w:numFmt w:val="bullet"/>
      <w:lvlText w:val="o"/>
      <w:lvlJc w:val="left"/>
      <w:pPr>
        <w:ind w:left="3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E6D94">
      <w:start w:val="1"/>
      <w:numFmt w:val="bullet"/>
      <w:lvlText w:val="▪"/>
      <w:lvlJc w:val="left"/>
      <w:pPr>
        <w:ind w:left="4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80FB4">
      <w:start w:val="1"/>
      <w:numFmt w:val="bullet"/>
      <w:lvlText w:val="•"/>
      <w:lvlJc w:val="left"/>
      <w:pPr>
        <w:ind w:left="5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45F2A">
      <w:start w:val="1"/>
      <w:numFmt w:val="bullet"/>
      <w:lvlText w:val="o"/>
      <w:lvlJc w:val="left"/>
      <w:pPr>
        <w:ind w:left="5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C4F84">
      <w:start w:val="1"/>
      <w:numFmt w:val="bullet"/>
      <w:lvlText w:val="▪"/>
      <w:lvlJc w:val="left"/>
      <w:pPr>
        <w:ind w:left="6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B06EE9"/>
    <w:multiLevelType w:val="hybridMultilevel"/>
    <w:tmpl w:val="65443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8560C"/>
    <w:multiLevelType w:val="hybridMultilevel"/>
    <w:tmpl w:val="B740BA6C"/>
    <w:lvl w:ilvl="0" w:tplc="484A9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9659A"/>
    <w:multiLevelType w:val="hybridMultilevel"/>
    <w:tmpl w:val="0F245A52"/>
    <w:lvl w:ilvl="0" w:tplc="05CA863E">
      <w:start w:val="1"/>
      <w:numFmt w:val="bullet"/>
      <w:lvlText w:val="•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8EFDA">
      <w:start w:val="1"/>
      <w:numFmt w:val="bullet"/>
      <w:lvlText w:val="o"/>
      <w:lvlJc w:val="left"/>
      <w:pPr>
        <w:ind w:left="2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8047C">
      <w:start w:val="1"/>
      <w:numFmt w:val="bullet"/>
      <w:lvlText w:val="▪"/>
      <w:lvlJc w:val="left"/>
      <w:pPr>
        <w:ind w:left="2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F66E8C">
      <w:start w:val="1"/>
      <w:numFmt w:val="bullet"/>
      <w:lvlText w:val="•"/>
      <w:lvlJc w:val="left"/>
      <w:pPr>
        <w:ind w:left="36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46710">
      <w:start w:val="1"/>
      <w:numFmt w:val="bullet"/>
      <w:lvlText w:val="o"/>
      <w:lvlJc w:val="left"/>
      <w:pPr>
        <w:ind w:left="43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F00D4C">
      <w:start w:val="1"/>
      <w:numFmt w:val="bullet"/>
      <w:lvlText w:val="▪"/>
      <w:lvlJc w:val="left"/>
      <w:pPr>
        <w:ind w:left="50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6FD56">
      <w:start w:val="1"/>
      <w:numFmt w:val="bullet"/>
      <w:lvlText w:val="•"/>
      <w:lvlJc w:val="left"/>
      <w:pPr>
        <w:ind w:left="57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09968">
      <w:start w:val="1"/>
      <w:numFmt w:val="bullet"/>
      <w:lvlText w:val="o"/>
      <w:lvlJc w:val="left"/>
      <w:pPr>
        <w:ind w:left="65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AABDD0">
      <w:start w:val="1"/>
      <w:numFmt w:val="bullet"/>
      <w:lvlText w:val="▪"/>
      <w:lvlJc w:val="left"/>
      <w:pPr>
        <w:ind w:left="72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1A2366"/>
    <w:multiLevelType w:val="hybridMultilevel"/>
    <w:tmpl w:val="66DC9944"/>
    <w:lvl w:ilvl="0" w:tplc="34C288D4">
      <w:start w:val="1"/>
      <w:numFmt w:val="bullet"/>
      <w:lvlText w:val="o"/>
      <w:lvlJc w:val="left"/>
      <w:pPr>
        <w:ind w:left="2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69868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8C9D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642D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CFB1E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E3E7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6AF204">
      <w:start w:val="1"/>
      <w:numFmt w:val="bullet"/>
      <w:lvlText w:val="•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6F1BC">
      <w:start w:val="1"/>
      <w:numFmt w:val="bullet"/>
      <w:lvlText w:val="o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69D40">
      <w:start w:val="1"/>
      <w:numFmt w:val="bullet"/>
      <w:lvlText w:val="▪"/>
      <w:lvlJc w:val="left"/>
      <w:pPr>
        <w:ind w:left="7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625C50"/>
    <w:multiLevelType w:val="hybridMultilevel"/>
    <w:tmpl w:val="6B7859BA"/>
    <w:lvl w:ilvl="0" w:tplc="C3006510">
      <w:start w:val="1"/>
      <w:numFmt w:val="bullet"/>
      <w:lvlText w:val="o"/>
      <w:lvlJc w:val="left"/>
      <w:pPr>
        <w:ind w:left="2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4BC0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AE40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467E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A2AED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7C0CF6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8AF4C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70DA8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78A49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9628884">
    <w:abstractNumId w:val="0"/>
  </w:num>
  <w:num w:numId="2" w16cid:durableId="858739271">
    <w:abstractNumId w:val="6"/>
  </w:num>
  <w:num w:numId="3" w16cid:durableId="41291851">
    <w:abstractNumId w:val="9"/>
  </w:num>
  <w:num w:numId="4" w16cid:durableId="490870459">
    <w:abstractNumId w:val="5"/>
  </w:num>
  <w:num w:numId="5" w16cid:durableId="1836452539">
    <w:abstractNumId w:val="4"/>
  </w:num>
  <w:num w:numId="6" w16cid:durableId="1410928534">
    <w:abstractNumId w:val="2"/>
  </w:num>
  <w:num w:numId="7" w16cid:durableId="1358122884">
    <w:abstractNumId w:val="7"/>
  </w:num>
  <w:num w:numId="8" w16cid:durableId="1958873724">
    <w:abstractNumId w:val="1"/>
  </w:num>
  <w:num w:numId="9" w16cid:durableId="1060208554">
    <w:abstractNumId w:val="8"/>
  </w:num>
  <w:num w:numId="10" w16cid:durableId="428357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52FE7"/>
    <w:rsid w:val="000557AE"/>
    <w:rsid w:val="00064872"/>
    <w:rsid w:val="000E6887"/>
    <w:rsid w:val="00106565"/>
    <w:rsid w:val="001115D4"/>
    <w:rsid w:val="00135FDD"/>
    <w:rsid w:val="0019580B"/>
    <w:rsid w:val="001B26D5"/>
    <w:rsid w:val="001D65E8"/>
    <w:rsid w:val="0023498C"/>
    <w:rsid w:val="0023690F"/>
    <w:rsid w:val="00260C35"/>
    <w:rsid w:val="002749EF"/>
    <w:rsid w:val="002B54BC"/>
    <w:rsid w:val="002C0BEF"/>
    <w:rsid w:val="002C5C32"/>
    <w:rsid w:val="002E7863"/>
    <w:rsid w:val="002F4BC6"/>
    <w:rsid w:val="00300BDC"/>
    <w:rsid w:val="00342FFD"/>
    <w:rsid w:val="00351DDA"/>
    <w:rsid w:val="003559A9"/>
    <w:rsid w:val="003646E2"/>
    <w:rsid w:val="00393C10"/>
    <w:rsid w:val="003F3FD8"/>
    <w:rsid w:val="004120CA"/>
    <w:rsid w:val="00427C73"/>
    <w:rsid w:val="00450E67"/>
    <w:rsid w:val="0045446D"/>
    <w:rsid w:val="00455349"/>
    <w:rsid w:val="004A70A7"/>
    <w:rsid w:val="004D4C69"/>
    <w:rsid w:val="004E2325"/>
    <w:rsid w:val="004E36F2"/>
    <w:rsid w:val="004E4B1D"/>
    <w:rsid w:val="004F3AF9"/>
    <w:rsid w:val="00502B99"/>
    <w:rsid w:val="0050605A"/>
    <w:rsid w:val="00510320"/>
    <w:rsid w:val="005220FC"/>
    <w:rsid w:val="00531ED6"/>
    <w:rsid w:val="00566AB1"/>
    <w:rsid w:val="00566D40"/>
    <w:rsid w:val="00574F56"/>
    <w:rsid w:val="00583387"/>
    <w:rsid w:val="005B5405"/>
    <w:rsid w:val="005B618B"/>
    <w:rsid w:val="005D2846"/>
    <w:rsid w:val="005D5140"/>
    <w:rsid w:val="00663C8F"/>
    <w:rsid w:val="006A372F"/>
    <w:rsid w:val="006C580A"/>
    <w:rsid w:val="006E6251"/>
    <w:rsid w:val="0070188B"/>
    <w:rsid w:val="0074625F"/>
    <w:rsid w:val="00756F8E"/>
    <w:rsid w:val="00767000"/>
    <w:rsid w:val="007D1E1A"/>
    <w:rsid w:val="007F2B65"/>
    <w:rsid w:val="007F336F"/>
    <w:rsid w:val="00805CED"/>
    <w:rsid w:val="00806654"/>
    <w:rsid w:val="00811BC5"/>
    <w:rsid w:val="0081399C"/>
    <w:rsid w:val="008B19DF"/>
    <w:rsid w:val="008B4333"/>
    <w:rsid w:val="008B5B37"/>
    <w:rsid w:val="008C0A5D"/>
    <w:rsid w:val="009439B2"/>
    <w:rsid w:val="00964BC2"/>
    <w:rsid w:val="009668A3"/>
    <w:rsid w:val="009A54A3"/>
    <w:rsid w:val="009B6C57"/>
    <w:rsid w:val="009D2DAE"/>
    <w:rsid w:val="00A52F40"/>
    <w:rsid w:val="00A82149"/>
    <w:rsid w:val="00A846FF"/>
    <w:rsid w:val="00AB1F10"/>
    <w:rsid w:val="00AC004D"/>
    <w:rsid w:val="00AE0E24"/>
    <w:rsid w:val="00B108C2"/>
    <w:rsid w:val="00B21270"/>
    <w:rsid w:val="00B91736"/>
    <w:rsid w:val="00BA3A50"/>
    <w:rsid w:val="00BA5D28"/>
    <w:rsid w:val="00BE1C56"/>
    <w:rsid w:val="00BE2E57"/>
    <w:rsid w:val="00BE5D62"/>
    <w:rsid w:val="00BF3EB9"/>
    <w:rsid w:val="00C13769"/>
    <w:rsid w:val="00C566ED"/>
    <w:rsid w:val="00C91666"/>
    <w:rsid w:val="00C9199C"/>
    <w:rsid w:val="00CD2EC1"/>
    <w:rsid w:val="00D247E8"/>
    <w:rsid w:val="00D52147"/>
    <w:rsid w:val="00D610FD"/>
    <w:rsid w:val="00D62762"/>
    <w:rsid w:val="00D7322E"/>
    <w:rsid w:val="00D739CC"/>
    <w:rsid w:val="00DC4000"/>
    <w:rsid w:val="00DD23DD"/>
    <w:rsid w:val="00E30C21"/>
    <w:rsid w:val="00E33B75"/>
    <w:rsid w:val="00E65865"/>
    <w:rsid w:val="00EB52FD"/>
    <w:rsid w:val="00EC5AFB"/>
    <w:rsid w:val="00EF18AB"/>
    <w:rsid w:val="00F23137"/>
    <w:rsid w:val="00F24674"/>
    <w:rsid w:val="00F379D1"/>
    <w:rsid w:val="00F43F3C"/>
    <w:rsid w:val="00F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2E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03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2F4B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8A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E2E5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ootnotedescription">
    <w:name w:val="footnote description"/>
    <w:next w:val="Normln"/>
    <w:link w:val="footnotedescriptionChar"/>
    <w:hidden/>
    <w:rsid w:val="00F23137"/>
    <w:pPr>
      <w:spacing w:after="0" w:line="299" w:lineRule="auto"/>
      <w:ind w:left="795" w:right="90"/>
      <w:jc w:val="both"/>
    </w:pPr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F23137"/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mark">
    <w:name w:val="footnote mark"/>
    <w:hidden/>
    <w:rsid w:val="00F23137"/>
    <w:rPr>
      <w:rFonts w:ascii="Arial" w:eastAsia="Arial" w:hAnsi="Arial" w:cs="Arial"/>
      <w:color w:val="000000"/>
      <w:sz w:val="18"/>
      <w:vertAlign w:val="superscript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032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B52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2FF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3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masjablunkovsk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op.mmr.cz/cs/vyzvy-2021-2027/vyzvy/61vyzvairo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sjablunkovsko.cz/strategie-mas-jablunkovsko?action=detail&amp;id=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chovna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4" ma:contentTypeDescription="Vytvoří nový dokument" ma:contentTypeScope="" ma:versionID="cf42172167cdae61c331c3bfd1a65550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93063541d79acfe348d8205ef3caff07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customXml/itemProps2.xml><?xml version="1.0" encoding="utf-8"?>
<ds:datastoreItem xmlns:ds="http://schemas.openxmlformats.org/officeDocument/2006/customXml" ds:itemID="{33C15362-0C50-4BE6-BA8D-F0452EAF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3BAE3-E07A-4A9E-8431-277FF9E265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1506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Petr Karlubík</cp:lastModifiedBy>
  <cp:revision>5</cp:revision>
  <dcterms:created xsi:type="dcterms:W3CDTF">2023-10-01T07:52:00Z</dcterms:created>
  <dcterms:modified xsi:type="dcterms:W3CDTF">2023-10-04T18:03:00Z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0x010100D199DAE56586FD4A801DFF173D3AEF7B</vt:lpwstr>
  </property>
  <property fmtid="{D5CDD505-2E9C-101B-9397-08002B2CF9AE}" pid="3" name="MediaServiceImageTags">
    <vt:lpwstr/>
  </property>
</Properties>
</file>